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E62" w:rsidRDefault="008A3C7F" w:rsidP="00D22DEC">
      <w:pPr>
        <w:pStyle w:val="Ttulo"/>
        <w:rPr>
          <w:lang w:val="es-ES"/>
        </w:rPr>
      </w:pPr>
      <w:bookmarkStart w:id="0" w:name="_GoBack"/>
      <w:bookmarkEnd w:id="0"/>
      <w:r>
        <w:rPr>
          <w:lang w:val="es-ES"/>
        </w:rPr>
        <w:t>Nutrimentos en la respuesta a la infección por SARS-CoV-2</w:t>
      </w:r>
    </w:p>
    <w:p w:rsidR="00231E62" w:rsidRDefault="00231E62">
      <w:pPr>
        <w:pStyle w:val="Encabezado"/>
        <w:jc w:val="center"/>
        <w:rPr>
          <w:b/>
          <w:snapToGrid w:val="0"/>
          <w:sz w:val="28"/>
          <w:szCs w:val="28"/>
          <w:lang w:val="es-VE" w:eastAsia="ja-JP"/>
        </w:rPr>
      </w:pPr>
    </w:p>
    <w:p w:rsidR="00231E62" w:rsidRDefault="008A3C7F">
      <w:pPr>
        <w:pStyle w:val="author"/>
        <w:rPr>
          <w:snapToGrid w:val="0"/>
          <w:vertAlign w:val="superscript"/>
          <w:lang w:val="es-ES" w:eastAsia="en-US"/>
        </w:rPr>
      </w:pPr>
      <w:r>
        <w:rPr>
          <w:lang w:val="es-ES"/>
        </w:rPr>
        <w:t>Núñez González, Aliena</w:t>
      </w:r>
      <w:r>
        <w:rPr>
          <w:vertAlign w:val="superscript"/>
          <w:lang w:val="es-ES"/>
        </w:rPr>
        <w:t>1</w:t>
      </w:r>
      <w:r>
        <w:rPr>
          <w:lang w:val="es-ES"/>
        </w:rPr>
        <w:t xml:space="preserve"> </w:t>
      </w:r>
    </w:p>
    <w:p w:rsidR="00231E62" w:rsidRDefault="008A3C7F">
      <w:pPr>
        <w:pStyle w:val="authorinfo"/>
        <w:rPr>
          <w:snapToGrid w:val="0"/>
          <w:lang w:val="es-ES" w:eastAsia="en-US"/>
        </w:rPr>
      </w:pPr>
      <w:r>
        <w:rPr>
          <w:snapToGrid w:val="0"/>
          <w:vertAlign w:val="superscript"/>
          <w:lang w:val="es-VE" w:eastAsia="en-US"/>
        </w:rPr>
        <w:t>1</w:t>
      </w:r>
      <w:r>
        <w:rPr>
          <w:lang w:val="es-VE"/>
        </w:rPr>
        <w:t xml:space="preserve"> Departamento de Ciencias Fisiológicas, Universidad de Ciencias Médicas de Granma, Manzanillo, Cuba, </w:t>
      </w:r>
      <w:r w:rsidR="00916EC4">
        <w:fldChar w:fldCharType="begin"/>
      </w:r>
      <w:r w:rsidR="00916EC4" w:rsidRPr="00D22DEC">
        <w:rPr>
          <w:lang w:val="es-CU"/>
        </w:rPr>
        <w:instrText xml:space="preserve"> HYPERLINK "mailto:alienangzalez937@gmail.com" </w:instrText>
      </w:r>
      <w:r w:rsidR="00916EC4">
        <w:fldChar w:fldCharType="separate"/>
      </w:r>
      <w:r>
        <w:rPr>
          <w:rStyle w:val="Hipervnculo"/>
          <w:snapToGrid w:val="0"/>
          <w:lang w:val="es-ES" w:eastAsia="en-US"/>
        </w:rPr>
        <w:t>alienangzalez937@gmail.com</w:t>
      </w:r>
      <w:r w:rsidR="00916EC4">
        <w:rPr>
          <w:rStyle w:val="Hipervnculo"/>
          <w:snapToGrid w:val="0"/>
          <w:lang w:val="es-ES" w:eastAsia="en-US"/>
        </w:rPr>
        <w:fldChar w:fldCharType="end"/>
      </w:r>
      <w:r>
        <w:rPr>
          <w:snapToGrid w:val="0"/>
          <w:lang w:val="es-VE" w:eastAsia="en-US"/>
        </w:rPr>
        <w:t xml:space="preserve"> </w:t>
      </w:r>
    </w:p>
    <w:p w:rsidR="00231E62" w:rsidRDefault="00231E62">
      <w:pPr>
        <w:pStyle w:val="authorinfo"/>
        <w:spacing w:after="0"/>
        <w:jc w:val="both"/>
        <w:rPr>
          <w:snapToGrid w:val="0"/>
          <w:lang w:val="es-VE" w:eastAsia="en-US"/>
        </w:rPr>
      </w:pPr>
    </w:p>
    <w:p w:rsidR="00231E62" w:rsidRDefault="00231E62">
      <w:pPr>
        <w:ind w:firstLine="0"/>
        <w:rPr>
          <w:lang w:val="es-VE"/>
        </w:rPr>
        <w:sectPr w:rsidR="00231E62">
          <w:headerReference w:type="even" r:id="rId8"/>
          <w:headerReference w:type="default" r:id="rId9"/>
          <w:type w:val="continuous"/>
          <w:pgSz w:w="11907" w:h="15819" w:code="218"/>
          <w:pgMar w:top="1417" w:right="794" w:bottom="2268" w:left="1077" w:header="850" w:footer="850" w:gutter="0"/>
          <w:cols w:space="708"/>
          <w:docGrid w:linePitch="360"/>
        </w:sectPr>
      </w:pPr>
    </w:p>
    <w:p w:rsidR="00231E62" w:rsidRDefault="00231E62">
      <w:pPr>
        <w:pStyle w:val="Encabezado"/>
        <w:jc w:val="both"/>
        <w:rPr>
          <w:b/>
          <w:sz w:val="24"/>
          <w:szCs w:val="24"/>
          <w:lang w:val="es-VE"/>
        </w:rPr>
      </w:pPr>
    </w:p>
    <w:p w:rsidR="00231E62" w:rsidRDefault="008A3C7F">
      <w:pPr>
        <w:pStyle w:val="abstract"/>
        <w:rPr>
          <w:b w:val="0"/>
          <w:sz w:val="24"/>
          <w:szCs w:val="24"/>
          <w:lang w:val="es-VE"/>
        </w:rPr>
      </w:pPr>
      <w:r>
        <w:rPr>
          <w:i/>
          <w:sz w:val="24"/>
          <w:szCs w:val="24"/>
          <w:lang w:val="es-VE"/>
        </w:rPr>
        <w:t>Resumen:</w:t>
      </w:r>
      <w:r>
        <w:rPr>
          <w:sz w:val="24"/>
          <w:szCs w:val="24"/>
          <w:lang w:val="es-VE"/>
        </w:rPr>
        <w:t xml:space="preserve"> </w:t>
      </w:r>
    </w:p>
    <w:p w:rsidR="00231E62" w:rsidRDefault="008A3C7F">
      <w:pPr>
        <w:pStyle w:val="abstract"/>
        <w:rPr>
          <w:b w:val="0"/>
          <w:sz w:val="24"/>
          <w:szCs w:val="24"/>
          <w:lang w:val="es-VE"/>
        </w:rPr>
      </w:pPr>
      <w:r>
        <w:rPr>
          <w:b w:val="0"/>
          <w:sz w:val="24"/>
          <w:szCs w:val="24"/>
          <w:lang w:val="es-VE"/>
        </w:rPr>
        <w:t>Introducción: Un nuevo tipo de coronavirus fue identificado en la ciudad de Wuhan en diciembre de 2019. La Organización Mundial de la Salud lo denominó SARS-CoV-2 por tratarse de un microorganismo perteneciente a la misma familia del SARS-CoV-1, originado también en China en 2003 y causante del síndrome respiratorio agudo severo.</w:t>
      </w:r>
    </w:p>
    <w:p w:rsidR="00231E62" w:rsidRDefault="008A3C7F">
      <w:pPr>
        <w:pStyle w:val="abstract"/>
        <w:rPr>
          <w:b w:val="0"/>
          <w:sz w:val="24"/>
          <w:szCs w:val="24"/>
          <w:lang w:val="es-VE"/>
        </w:rPr>
      </w:pPr>
      <w:r>
        <w:rPr>
          <w:b w:val="0"/>
          <w:sz w:val="24"/>
          <w:szCs w:val="24"/>
          <w:lang w:val="es-VE"/>
        </w:rPr>
        <w:t xml:space="preserve">Objetivo: Evidenciar el posible impacto de los nutrimentos en la respuesta a la infección por SARS-CoV-2 en grupos poblacionales de riesgo. </w:t>
      </w:r>
    </w:p>
    <w:p w:rsidR="00231E62" w:rsidRDefault="008A3C7F">
      <w:pPr>
        <w:pStyle w:val="abstract"/>
        <w:rPr>
          <w:b w:val="0"/>
          <w:sz w:val="24"/>
          <w:szCs w:val="24"/>
          <w:lang w:val="es-VE"/>
        </w:rPr>
      </w:pPr>
      <w:r>
        <w:rPr>
          <w:b w:val="0"/>
          <w:sz w:val="24"/>
          <w:szCs w:val="24"/>
          <w:lang w:val="es-VE"/>
        </w:rPr>
        <w:t xml:space="preserve">Materiales y métodos: Se realizó una investigación de tipo revisión bibliográfica. Para identificar los documentos que se revisarían se consultaron las bases bibliográficas </w:t>
      </w:r>
      <w:proofErr w:type="spellStart"/>
      <w:r>
        <w:rPr>
          <w:b w:val="0"/>
          <w:sz w:val="24"/>
          <w:szCs w:val="24"/>
          <w:lang w:val="es-VE"/>
        </w:rPr>
        <w:t>PubMed</w:t>
      </w:r>
      <w:proofErr w:type="spellEnd"/>
      <w:r>
        <w:rPr>
          <w:b w:val="0"/>
          <w:sz w:val="24"/>
          <w:szCs w:val="24"/>
          <w:lang w:val="es-VE"/>
        </w:rPr>
        <w:t>/</w:t>
      </w:r>
      <w:proofErr w:type="spellStart"/>
      <w:r>
        <w:rPr>
          <w:b w:val="0"/>
          <w:sz w:val="24"/>
          <w:szCs w:val="24"/>
          <w:lang w:val="es-VE"/>
        </w:rPr>
        <w:t>Medline</w:t>
      </w:r>
      <w:proofErr w:type="spellEnd"/>
      <w:r>
        <w:rPr>
          <w:b w:val="0"/>
          <w:sz w:val="24"/>
          <w:szCs w:val="24"/>
          <w:lang w:val="es-VE"/>
        </w:rPr>
        <w:t xml:space="preserve">, </w:t>
      </w:r>
      <w:proofErr w:type="spellStart"/>
      <w:r>
        <w:rPr>
          <w:b w:val="0"/>
          <w:sz w:val="24"/>
          <w:szCs w:val="24"/>
          <w:lang w:val="es-VE"/>
        </w:rPr>
        <w:t>Elsevier</w:t>
      </w:r>
      <w:proofErr w:type="spellEnd"/>
      <w:r>
        <w:rPr>
          <w:b w:val="0"/>
          <w:sz w:val="24"/>
          <w:szCs w:val="24"/>
          <w:lang w:val="es-VE"/>
        </w:rPr>
        <w:t xml:space="preserve"> y </w:t>
      </w:r>
      <w:proofErr w:type="spellStart"/>
      <w:r>
        <w:rPr>
          <w:b w:val="0"/>
          <w:sz w:val="24"/>
          <w:szCs w:val="24"/>
          <w:lang w:val="es-VE"/>
        </w:rPr>
        <w:t>SciELO</w:t>
      </w:r>
      <w:proofErr w:type="spellEnd"/>
      <w:r>
        <w:rPr>
          <w:b w:val="0"/>
          <w:sz w:val="24"/>
          <w:szCs w:val="24"/>
          <w:lang w:val="es-VE"/>
        </w:rPr>
        <w:t xml:space="preserve"> incluyendo los trabajos de los últimos tres años en español y en inglés. Se utilizaron como palabras claves para la búsqueda de información: COVID-19, nutrición, nutrimentos, alimentación, SARS-CoV-2. </w:t>
      </w:r>
    </w:p>
    <w:p w:rsidR="00231E62" w:rsidRDefault="008A3C7F">
      <w:pPr>
        <w:pStyle w:val="abstract"/>
        <w:rPr>
          <w:b w:val="0"/>
          <w:sz w:val="24"/>
          <w:szCs w:val="24"/>
          <w:lang w:val="es-VE"/>
        </w:rPr>
      </w:pPr>
      <w:r>
        <w:rPr>
          <w:b w:val="0"/>
          <w:sz w:val="24"/>
          <w:szCs w:val="24"/>
          <w:lang w:val="es-VE"/>
        </w:rPr>
        <w:t>Resultados: Aunque existe evidencia científica de que el aporte nutricional durante la infección por SARS-CoV-2 puede ser determinante en la evolución clínica de la enfermedad, aun no se cuenta con una terapéutica basada únicamente en el control nutricional de las personas afectadas por el virus.</w:t>
      </w:r>
    </w:p>
    <w:p w:rsidR="00231E62" w:rsidRDefault="008A3C7F">
      <w:pPr>
        <w:pStyle w:val="abstract"/>
        <w:rPr>
          <w:b w:val="0"/>
          <w:sz w:val="24"/>
          <w:szCs w:val="24"/>
          <w:lang w:val="es-VE"/>
        </w:rPr>
      </w:pPr>
      <w:r>
        <w:rPr>
          <w:b w:val="0"/>
          <w:sz w:val="24"/>
          <w:szCs w:val="24"/>
          <w:lang w:val="es-VE"/>
        </w:rPr>
        <w:t>Conclusiones: Se considera prioritario ampliar el horizonte de investigaciones que evalúen la relación entre manejo nutricional del paciente con COVID-19 y su evolución clínica.</w:t>
      </w:r>
    </w:p>
    <w:p w:rsidR="00231E62" w:rsidRDefault="008A3C7F">
      <w:pPr>
        <w:pStyle w:val="keywords"/>
        <w:rPr>
          <w:sz w:val="24"/>
          <w:szCs w:val="24"/>
          <w:lang w:val="es-VE"/>
        </w:rPr>
      </w:pPr>
      <w:r>
        <w:rPr>
          <w:rStyle w:val="italic"/>
          <w:sz w:val="24"/>
          <w:szCs w:val="24"/>
          <w:lang w:val="es-VE"/>
        </w:rPr>
        <w:t>Palabras clave:</w:t>
      </w:r>
      <w:r>
        <w:rPr>
          <w:sz w:val="24"/>
          <w:szCs w:val="24"/>
          <w:lang w:val="es-VE"/>
        </w:rPr>
        <w:t xml:space="preserve"> nutrición, COVID-19, alimentación, respuesta inmune</w:t>
      </w:r>
      <w:r>
        <w:rPr>
          <w:b w:val="0"/>
          <w:sz w:val="24"/>
          <w:szCs w:val="24"/>
          <w:lang w:val="es-VE"/>
        </w:rPr>
        <w:t xml:space="preserve">. </w:t>
      </w:r>
    </w:p>
    <w:p w:rsidR="00231E62" w:rsidRPr="0087708B" w:rsidRDefault="008A3C7F">
      <w:pPr>
        <w:pStyle w:val="keywords"/>
        <w:rPr>
          <w:rStyle w:val="AbsatzNormal"/>
          <w:sz w:val="24"/>
          <w:szCs w:val="24"/>
          <w:lang w:val="es-CU"/>
        </w:rPr>
      </w:pPr>
      <w:r w:rsidRPr="0087708B">
        <w:rPr>
          <w:rStyle w:val="initial12"/>
          <w:lang w:val="es-CU"/>
        </w:rPr>
        <w:br w:type="page"/>
      </w:r>
      <w:r w:rsidRPr="0087708B">
        <w:rPr>
          <w:rStyle w:val="initial12"/>
          <w:lang w:val="es-CU"/>
        </w:rPr>
        <w:lastRenderedPageBreak/>
        <w:t>I</w:t>
      </w:r>
      <w:r w:rsidRPr="0087708B">
        <w:rPr>
          <w:sz w:val="24"/>
          <w:szCs w:val="24"/>
          <w:lang w:val="es-CU"/>
        </w:rPr>
        <w:t xml:space="preserve">NTRODUCCIÓN </w:t>
      </w:r>
    </w:p>
    <w:p w:rsidR="00231E62" w:rsidRDefault="008A3C7F">
      <w:pPr>
        <w:rPr>
          <w:sz w:val="24"/>
          <w:szCs w:val="24"/>
          <w:lang w:val="es-ES"/>
        </w:rPr>
      </w:pPr>
      <w:r>
        <w:rPr>
          <w:sz w:val="24"/>
          <w:szCs w:val="24"/>
          <w:lang w:val="es-ES"/>
        </w:rPr>
        <w:t>Un nuevo tipo de coronavirus fue identificado en la ciudad de Wuhan (China) en diciembre de 2019. La Organización Mundial de la Salud (OMS) lo denominó SARS-CoV-2 por tratarse de un microorganismo perteneciente a la misma familia del SARS-CoV-1, originado también en China en 2003 y causante del síndrome respiratorio agudo severo. El SARS-CoV-2 se extendió rápidamente por todo el mundo, mostrando mayor capacidad de propagación y transmisión que su antecesor.</w:t>
      </w:r>
      <w:r>
        <w:rPr>
          <w:sz w:val="24"/>
          <w:szCs w:val="24"/>
          <w:vertAlign w:val="superscript"/>
          <w:lang w:val="es-ES"/>
        </w:rPr>
        <w:t xml:space="preserve"> (1)</w:t>
      </w:r>
      <w:r>
        <w:rPr>
          <w:sz w:val="24"/>
          <w:szCs w:val="24"/>
          <w:lang w:val="es-ES"/>
        </w:rPr>
        <w:t xml:space="preserve"> </w:t>
      </w:r>
    </w:p>
    <w:p w:rsidR="00231E62" w:rsidRDefault="008A3C7F">
      <w:pPr>
        <w:rPr>
          <w:sz w:val="24"/>
          <w:szCs w:val="24"/>
          <w:vertAlign w:val="superscript"/>
          <w:lang w:val="es-ES"/>
        </w:rPr>
      </w:pPr>
      <w:r>
        <w:rPr>
          <w:sz w:val="24"/>
          <w:szCs w:val="24"/>
          <w:lang w:val="es-ES"/>
        </w:rPr>
        <w:t xml:space="preserve">La infección por SARS-CoV-2 induce dos fases de respuesta inmune. En la primera, que es el período de incubación y etapa no severa, la respuesta inmune específica y adaptativa se activa para eliminar el virus y evitar la progresión a una etapa severa. El pronóstico del paciente con COVID-19 depende de la capacidad del sistema inmune para activar la respuesta innata mediada por macrófagos y células dendríticas en la primera fase de infección. Así como modular la respuesta adaptativa mediada por células B y T en la segunda etapa, evitando la activación anormal de las células inmunes y la hipersecreción de </w:t>
      </w:r>
      <w:proofErr w:type="spellStart"/>
      <w:r>
        <w:rPr>
          <w:sz w:val="24"/>
          <w:szCs w:val="24"/>
          <w:lang w:val="es-ES"/>
        </w:rPr>
        <w:t>citocinas</w:t>
      </w:r>
      <w:proofErr w:type="spellEnd"/>
      <w:r>
        <w:rPr>
          <w:sz w:val="24"/>
          <w:szCs w:val="24"/>
          <w:lang w:val="es-ES"/>
        </w:rPr>
        <w:t xml:space="preserve"> </w:t>
      </w:r>
      <w:proofErr w:type="spellStart"/>
      <w:r>
        <w:rPr>
          <w:sz w:val="24"/>
          <w:szCs w:val="24"/>
          <w:lang w:val="es-ES"/>
        </w:rPr>
        <w:t>proinflamatorias</w:t>
      </w:r>
      <w:proofErr w:type="spellEnd"/>
      <w:r>
        <w:rPr>
          <w:sz w:val="24"/>
          <w:szCs w:val="24"/>
          <w:lang w:val="es-ES"/>
        </w:rPr>
        <w:t>.</w:t>
      </w:r>
      <w:r>
        <w:rPr>
          <w:sz w:val="24"/>
          <w:szCs w:val="24"/>
          <w:vertAlign w:val="superscript"/>
          <w:lang w:val="es-ES"/>
        </w:rPr>
        <w:t xml:space="preserve"> (1)</w:t>
      </w:r>
    </w:p>
    <w:p w:rsidR="00231E62" w:rsidRDefault="008A3C7F">
      <w:pPr>
        <w:rPr>
          <w:sz w:val="24"/>
          <w:szCs w:val="24"/>
          <w:lang w:val="es-ES"/>
        </w:rPr>
      </w:pPr>
      <w:r>
        <w:rPr>
          <w:sz w:val="24"/>
          <w:szCs w:val="24"/>
          <w:lang w:val="es-ES"/>
        </w:rPr>
        <w:t xml:space="preserve">Por lo que desde los albores de la pandemia existió interés en estudiar cómo la introducción de ciertos nutrimentos en la dieta del paciente con COVID-19 podía o no tener impacto sobre su evolución clínica, llegándose a carecer en los primeros meses de evidencias lo suficientemente concretas para justificar el uso de dietas según el grupo poblacional afectado. </w:t>
      </w:r>
    </w:p>
    <w:p w:rsidR="00231E62" w:rsidRDefault="008A3C7F">
      <w:pPr>
        <w:rPr>
          <w:sz w:val="24"/>
          <w:szCs w:val="24"/>
          <w:lang w:val="es-ES"/>
        </w:rPr>
      </w:pPr>
      <w:r>
        <w:rPr>
          <w:sz w:val="24"/>
          <w:szCs w:val="24"/>
          <w:lang w:val="es-ES"/>
        </w:rPr>
        <w:t xml:space="preserve">Con casi cuatro años en el mundo, los esfuerzos por dilucidar la </w:t>
      </w:r>
      <w:proofErr w:type="spellStart"/>
      <w:r>
        <w:rPr>
          <w:sz w:val="24"/>
          <w:szCs w:val="24"/>
          <w:lang w:val="es-ES"/>
        </w:rPr>
        <w:t>fisiopatogenia</w:t>
      </w:r>
      <w:proofErr w:type="spellEnd"/>
      <w:r>
        <w:rPr>
          <w:sz w:val="24"/>
          <w:szCs w:val="24"/>
          <w:lang w:val="es-ES"/>
        </w:rPr>
        <w:t xml:space="preserve"> de la enfermedad han dado sus frutos. Hoy se tiene evidencia sobre el efecto que tienen algunos nutrimentos para el desarrollo y correcto funcionamiento del sistema inmunológico, entre los cuales se encuentran la vitamina A y los </w:t>
      </w:r>
      <w:proofErr w:type="spellStart"/>
      <w:r>
        <w:rPr>
          <w:sz w:val="24"/>
          <w:szCs w:val="24"/>
          <w:lang w:val="es-ES"/>
        </w:rPr>
        <w:t>betacarotenos</w:t>
      </w:r>
      <w:proofErr w:type="spellEnd"/>
      <w:r>
        <w:rPr>
          <w:sz w:val="24"/>
          <w:szCs w:val="24"/>
          <w:lang w:val="es-ES"/>
        </w:rPr>
        <w:t>, vitamina D, vitamina E, zinc, que participan en la diferenciación y activación correcta de células capaces de defender de la infección. También se ha descrito que antioxidantes como el selenio y compuestos como los flavonoides pueden neutralizar radicales libres que causan un estado de estrés oxidativo y que además tienen un potencial efecto antiviral.</w:t>
      </w:r>
      <w:r>
        <w:rPr>
          <w:sz w:val="24"/>
          <w:szCs w:val="24"/>
          <w:vertAlign w:val="superscript"/>
          <w:lang w:val="es-ES"/>
        </w:rPr>
        <w:t xml:space="preserve"> (2)</w:t>
      </w:r>
    </w:p>
    <w:p w:rsidR="00231E62" w:rsidRDefault="008A3C7F">
      <w:pPr>
        <w:rPr>
          <w:sz w:val="24"/>
          <w:szCs w:val="24"/>
          <w:lang w:val="es-ES"/>
        </w:rPr>
      </w:pPr>
      <w:r>
        <w:rPr>
          <w:sz w:val="24"/>
          <w:szCs w:val="24"/>
          <w:lang w:val="es-ES"/>
        </w:rPr>
        <w:t>De esta manera, constituyó una inquietud científica para la autora de la presente ponencia evidenciar el posible impacto de los nutrimentos en la respuesta a la infección por SARS-CoV-2 en grupos poblacionales de riesgo, para lo cual se realizó una revisión bibliográfica.</w:t>
      </w:r>
    </w:p>
    <w:p w:rsidR="00231E62" w:rsidRDefault="008A3C7F">
      <w:pPr>
        <w:pStyle w:val="heading1"/>
        <w:rPr>
          <w:rStyle w:val="initial12"/>
          <w:lang w:val="es-VE"/>
        </w:rPr>
      </w:pPr>
      <w:r>
        <w:rPr>
          <w:rStyle w:val="initial12"/>
          <w:lang w:val="es-VE"/>
        </w:rPr>
        <w:t>Material y método</w:t>
      </w:r>
    </w:p>
    <w:p w:rsidR="00231E62" w:rsidRDefault="008A3C7F">
      <w:pPr>
        <w:rPr>
          <w:sz w:val="24"/>
          <w:szCs w:val="24"/>
          <w:lang w:val="es-ES"/>
        </w:rPr>
      </w:pPr>
      <w:r>
        <w:rPr>
          <w:sz w:val="24"/>
          <w:szCs w:val="24"/>
          <w:lang w:val="es-ES"/>
        </w:rPr>
        <w:t xml:space="preserve">Se realizó una investigación de tipo revisión bibliográfica. Para identificar los documentos que se revisarían se consultaron las bases bibliográficas </w:t>
      </w:r>
      <w:proofErr w:type="spellStart"/>
      <w:r>
        <w:rPr>
          <w:sz w:val="24"/>
          <w:szCs w:val="24"/>
          <w:lang w:val="es-ES"/>
        </w:rPr>
        <w:t>PubMed</w:t>
      </w:r>
      <w:proofErr w:type="spellEnd"/>
      <w:r>
        <w:rPr>
          <w:sz w:val="24"/>
          <w:szCs w:val="24"/>
          <w:lang w:val="es-ES"/>
        </w:rPr>
        <w:t>/</w:t>
      </w:r>
      <w:proofErr w:type="spellStart"/>
      <w:r>
        <w:rPr>
          <w:sz w:val="24"/>
          <w:szCs w:val="24"/>
          <w:lang w:val="es-ES"/>
        </w:rPr>
        <w:t>Medline</w:t>
      </w:r>
      <w:proofErr w:type="spellEnd"/>
      <w:r>
        <w:rPr>
          <w:sz w:val="24"/>
          <w:szCs w:val="24"/>
          <w:lang w:val="es-ES"/>
        </w:rPr>
        <w:t xml:space="preserve">, </w:t>
      </w:r>
      <w:proofErr w:type="spellStart"/>
      <w:r>
        <w:rPr>
          <w:sz w:val="24"/>
          <w:szCs w:val="24"/>
          <w:lang w:val="es-ES"/>
        </w:rPr>
        <w:t>Elsevier</w:t>
      </w:r>
      <w:proofErr w:type="spellEnd"/>
      <w:r>
        <w:rPr>
          <w:sz w:val="24"/>
          <w:szCs w:val="24"/>
          <w:lang w:val="es-ES"/>
        </w:rPr>
        <w:t xml:space="preserve"> y </w:t>
      </w:r>
      <w:proofErr w:type="spellStart"/>
      <w:r>
        <w:rPr>
          <w:sz w:val="24"/>
          <w:szCs w:val="24"/>
          <w:lang w:val="es-ES"/>
        </w:rPr>
        <w:t>SciELO</w:t>
      </w:r>
      <w:proofErr w:type="spellEnd"/>
      <w:r>
        <w:rPr>
          <w:sz w:val="24"/>
          <w:szCs w:val="24"/>
          <w:lang w:val="es-ES"/>
        </w:rPr>
        <w:t xml:space="preserve"> incluyendo los trabajos de los últimos tres años en español y en inglés. Se utilizaron como palabras claves para la búsqueda de información: COVID-19, nutrición, nutrimentos, alimentación, SARS-</w:t>
      </w:r>
      <w:proofErr w:type="spellStart"/>
      <w:r>
        <w:rPr>
          <w:sz w:val="24"/>
          <w:szCs w:val="24"/>
          <w:lang w:val="es-ES"/>
        </w:rPr>
        <w:t>Cov</w:t>
      </w:r>
      <w:proofErr w:type="spellEnd"/>
      <w:r>
        <w:rPr>
          <w:sz w:val="24"/>
          <w:szCs w:val="24"/>
          <w:lang w:val="es-ES"/>
        </w:rPr>
        <w:t xml:space="preserve">- 2. </w:t>
      </w:r>
    </w:p>
    <w:p w:rsidR="00231E62" w:rsidRDefault="008A3C7F">
      <w:pPr>
        <w:pStyle w:val="heading1"/>
        <w:rPr>
          <w:rStyle w:val="AbsatzNormal"/>
          <w:sz w:val="24"/>
          <w:szCs w:val="24"/>
        </w:rPr>
      </w:pPr>
      <w:r>
        <w:rPr>
          <w:rStyle w:val="AbsatzNormal"/>
          <w:sz w:val="24"/>
          <w:szCs w:val="24"/>
        </w:rPr>
        <w:t>Resultados</w:t>
      </w:r>
    </w:p>
    <w:p w:rsidR="00231E62" w:rsidRDefault="008A3C7F">
      <w:pPr>
        <w:rPr>
          <w:sz w:val="24"/>
          <w:szCs w:val="24"/>
          <w:lang w:val="es-ES"/>
        </w:rPr>
      </w:pPr>
      <w:r>
        <w:rPr>
          <w:sz w:val="24"/>
          <w:szCs w:val="24"/>
          <w:lang w:val="es-ES"/>
        </w:rPr>
        <w:t>La modulación de la actividad de las diferentes células inmunes durante la infección por SARS-CoV2 por la administración de un patrón de alimentación saludable se ha utilizado como una alternativa para reducir la gravedad de la infección. Incrementando la velocidad de recuperación y de manera más importante, la esperanza de vida de los pacientes de mayor riesgo.</w:t>
      </w:r>
      <w:r>
        <w:rPr>
          <w:sz w:val="24"/>
          <w:szCs w:val="24"/>
          <w:vertAlign w:val="superscript"/>
          <w:lang w:val="es-ES"/>
        </w:rPr>
        <w:t xml:space="preserve"> (3)</w:t>
      </w:r>
      <w:r>
        <w:rPr>
          <w:sz w:val="24"/>
          <w:szCs w:val="24"/>
          <w:lang w:val="es-ES"/>
        </w:rPr>
        <w:t xml:space="preserve"> </w:t>
      </w:r>
    </w:p>
    <w:p w:rsidR="00231E62" w:rsidRDefault="008A3C7F">
      <w:pPr>
        <w:rPr>
          <w:sz w:val="24"/>
          <w:szCs w:val="24"/>
          <w:lang w:val="es-ES"/>
        </w:rPr>
      </w:pPr>
      <w:r>
        <w:rPr>
          <w:sz w:val="24"/>
          <w:szCs w:val="24"/>
          <w:lang w:val="es-ES"/>
        </w:rPr>
        <w:lastRenderedPageBreak/>
        <w:t>Debido a este particular, a continuación reseñamos el papel de la incorporación de ciertos nutrimentos en la dieta de grupos considerados de alto riesgo durante la infección por SARS-CoV-2:</w:t>
      </w:r>
    </w:p>
    <w:p w:rsidR="00231E62" w:rsidRDefault="008A3C7F">
      <w:pPr>
        <w:rPr>
          <w:i/>
          <w:sz w:val="24"/>
          <w:szCs w:val="24"/>
          <w:lang w:val="es-ES"/>
        </w:rPr>
      </w:pPr>
      <w:r>
        <w:rPr>
          <w:i/>
          <w:sz w:val="24"/>
          <w:szCs w:val="24"/>
          <w:lang w:val="es-ES"/>
        </w:rPr>
        <w:t>Embarazo y COVID-19</w:t>
      </w:r>
    </w:p>
    <w:p w:rsidR="00231E62" w:rsidRDefault="008A3C7F">
      <w:pPr>
        <w:rPr>
          <w:sz w:val="24"/>
          <w:szCs w:val="24"/>
          <w:lang w:val="es-ES"/>
        </w:rPr>
      </w:pPr>
      <w:r>
        <w:rPr>
          <w:sz w:val="24"/>
          <w:szCs w:val="24"/>
          <w:lang w:val="es-ES"/>
        </w:rPr>
        <w:t xml:space="preserve">El embarazo es un estado único a nivel inmunológico. El sistema </w:t>
      </w:r>
      <w:proofErr w:type="spellStart"/>
      <w:r>
        <w:rPr>
          <w:sz w:val="24"/>
          <w:szCs w:val="24"/>
          <w:lang w:val="es-ES"/>
        </w:rPr>
        <w:t>immune</w:t>
      </w:r>
      <w:proofErr w:type="spellEnd"/>
      <w:r>
        <w:rPr>
          <w:sz w:val="24"/>
          <w:szCs w:val="24"/>
          <w:lang w:val="es-ES"/>
        </w:rPr>
        <w:t xml:space="preserve"> materno se enfrenta a dos retos: establecer y mantener una tolerancia al feto, al mismo tiempo que conservar la habilidad de protegerse contra retos microbianos. Esta respuesta inmunológica va cambiando a lo largo del embarazo, desde un estado </w:t>
      </w:r>
      <w:proofErr w:type="spellStart"/>
      <w:r>
        <w:rPr>
          <w:sz w:val="24"/>
          <w:szCs w:val="24"/>
          <w:lang w:val="es-ES"/>
        </w:rPr>
        <w:t>proinflamatorio</w:t>
      </w:r>
      <w:proofErr w:type="spellEnd"/>
      <w:r>
        <w:rPr>
          <w:sz w:val="24"/>
          <w:szCs w:val="24"/>
          <w:lang w:val="es-ES"/>
        </w:rPr>
        <w:t xml:space="preserve"> en el primer trimestre, anti-inflamatorio en el segundo trimestre y nuevamente pro-inflamatorio para la preparación del parto. De manera particular, las mujeres embarazadas pueden ser más susceptibles a COVID-19, ya que en general, son más vulnerables a las infecciones respiratorias.</w:t>
      </w:r>
      <w:r>
        <w:rPr>
          <w:sz w:val="24"/>
          <w:szCs w:val="24"/>
          <w:vertAlign w:val="superscript"/>
          <w:lang w:val="es-ES"/>
        </w:rPr>
        <w:t xml:space="preserve"> (4)</w:t>
      </w:r>
      <w:r>
        <w:rPr>
          <w:sz w:val="24"/>
          <w:szCs w:val="24"/>
          <w:lang w:val="es-ES"/>
        </w:rPr>
        <w:t xml:space="preserve"> </w:t>
      </w:r>
    </w:p>
    <w:p w:rsidR="00231E62" w:rsidRDefault="008A3C7F">
      <w:pPr>
        <w:rPr>
          <w:sz w:val="24"/>
          <w:szCs w:val="24"/>
          <w:lang w:val="es-ES"/>
        </w:rPr>
      </w:pPr>
      <w:r>
        <w:rPr>
          <w:sz w:val="24"/>
          <w:szCs w:val="24"/>
          <w:lang w:val="es-ES"/>
        </w:rPr>
        <w:t>Las potenciales intervenciones nutrimentales ante COVID-19 se centran en: vitaminas A, D, E, C, vitaminas del complejo B, ácidos grasos poliinsaturados omega-3, selenio, zinc y hierro. Sin embargo, se requiere de mucha investigación todavía para poder establecer dosis y tiempos de suplementación efectivos contra SARS-CoV-2.</w:t>
      </w:r>
      <w:r>
        <w:rPr>
          <w:sz w:val="24"/>
          <w:szCs w:val="24"/>
          <w:vertAlign w:val="superscript"/>
          <w:lang w:val="es-ES"/>
        </w:rPr>
        <w:t xml:space="preserve"> (4)</w:t>
      </w:r>
      <w:r>
        <w:rPr>
          <w:sz w:val="24"/>
          <w:szCs w:val="24"/>
          <w:lang w:val="es-ES"/>
        </w:rPr>
        <w:t xml:space="preserve"> </w:t>
      </w:r>
    </w:p>
    <w:p w:rsidR="00231E62" w:rsidRDefault="008A3C7F">
      <w:pPr>
        <w:rPr>
          <w:i/>
          <w:sz w:val="24"/>
          <w:szCs w:val="24"/>
          <w:lang w:val="es-ES"/>
        </w:rPr>
      </w:pPr>
      <w:r>
        <w:rPr>
          <w:i/>
          <w:sz w:val="24"/>
          <w:szCs w:val="24"/>
          <w:lang w:val="es-ES"/>
        </w:rPr>
        <w:t>Envejecimiento y COVID-19</w:t>
      </w:r>
    </w:p>
    <w:p w:rsidR="00231E62" w:rsidRDefault="008A3C7F">
      <w:pPr>
        <w:rPr>
          <w:sz w:val="24"/>
          <w:szCs w:val="24"/>
          <w:vertAlign w:val="superscript"/>
          <w:lang w:val="es-ES"/>
        </w:rPr>
      </w:pPr>
      <w:r>
        <w:rPr>
          <w:sz w:val="24"/>
          <w:szCs w:val="24"/>
          <w:lang w:val="es-ES"/>
        </w:rPr>
        <w:t xml:space="preserve">La edad es un fuerte factor de riesgo de complicaciones graves de enfermedad y muerte por COVID-19. Por lo que existen varias razones por las cuales mantener el estado nutricional óptimo de los adultos mayores resulta prioritario para la prevención de infección dado que induce una respuesta inmunológica e inflamatoria en el paciente. </w:t>
      </w:r>
      <w:r>
        <w:rPr>
          <w:sz w:val="24"/>
          <w:szCs w:val="24"/>
          <w:vertAlign w:val="superscript"/>
          <w:lang w:val="es-ES"/>
        </w:rPr>
        <w:t>(5)</w:t>
      </w:r>
    </w:p>
    <w:p w:rsidR="00231E62" w:rsidRDefault="008A3C7F">
      <w:pPr>
        <w:rPr>
          <w:sz w:val="24"/>
          <w:szCs w:val="24"/>
          <w:vertAlign w:val="superscript"/>
          <w:lang w:val="es-ES"/>
        </w:rPr>
      </w:pPr>
      <w:r>
        <w:rPr>
          <w:sz w:val="24"/>
          <w:szCs w:val="24"/>
          <w:lang w:val="es-ES"/>
        </w:rPr>
        <w:t>Una de las características más claras de COVID-19 es la alta incidencia por infección en adultos mayores y personas con afecciones de salud subyacentes crónicas, lo que resulta en tasas de ataque y mortalidad más altas. Dado que los adultos mayores experimentan un mayor número y gravedad de enfermedades crónicas y discapacidades, así como de disfunción inmune, la COVID-19 afecta desproporcionadamente a esta población.</w:t>
      </w:r>
      <w:r>
        <w:rPr>
          <w:sz w:val="24"/>
          <w:szCs w:val="24"/>
          <w:vertAlign w:val="superscript"/>
          <w:lang w:val="es-ES"/>
        </w:rPr>
        <w:t xml:space="preserve"> (6)</w:t>
      </w:r>
    </w:p>
    <w:p w:rsidR="00231E62" w:rsidRDefault="008A3C7F">
      <w:pPr>
        <w:rPr>
          <w:sz w:val="24"/>
          <w:szCs w:val="24"/>
          <w:lang w:val="es-ES"/>
        </w:rPr>
      </w:pPr>
      <w:r>
        <w:rPr>
          <w:sz w:val="24"/>
          <w:szCs w:val="24"/>
          <w:lang w:val="es-ES"/>
        </w:rPr>
        <w:t>Adicionalmente, un déficit nutricional perturba estructuralmente al sistema respiratorio ya que impide una adecuada movilidad al tener disminuido el aporte energético y proteico a los músculos. Otro motivo es que la respuesta metabólica al estrés de la infección aumentará la demanda energética.</w:t>
      </w:r>
      <w:r>
        <w:rPr>
          <w:sz w:val="24"/>
          <w:szCs w:val="24"/>
          <w:vertAlign w:val="superscript"/>
          <w:lang w:val="es-ES"/>
        </w:rPr>
        <w:t xml:space="preserve"> (6)</w:t>
      </w:r>
      <w:r>
        <w:rPr>
          <w:sz w:val="24"/>
          <w:szCs w:val="24"/>
          <w:lang w:val="es-ES"/>
        </w:rPr>
        <w:t xml:space="preserve"> </w:t>
      </w:r>
    </w:p>
    <w:p w:rsidR="00231E62" w:rsidRDefault="008A3C7F">
      <w:pPr>
        <w:rPr>
          <w:i/>
          <w:sz w:val="24"/>
          <w:szCs w:val="24"/>
          <w:lang w:val="es-ES"/>
        </w:rPr>
      </w:pPr>
      <w:r>
        <w:rPr>
          <w:i/>
          <w:sz w:val="24"/>
          <w:szCs w:val="24"/>
          <w:lang w:val="es-ES"/>
        </w:rPr>
        <w:t>Diabetes Mellitus y COVID-19</w:t>
      </w:r>
    </w:p>
    <w:p w:rsidR="00231E62" w:rsidRDefault="008A3C7F">
      <w:pPr>
        <w:rPr>
          <w:sz w:val="24"/>
          <w:szCs w:val="24"/>
          <w:vertAlign w:val="superscript"/>
          <w:lang w:val="es-ES"/>
        </w:rPr>
      </w:pPr>
      <w:r>
        <w:rPr>
          <w:sz w:val="24"/>
          <w:szCs w:val="24"/>
          <w:lang w:val="es-ES"/>
        </w:rPr>
        <w:t xml:space="preserve">Debido al compromiso de la respuesta inmunológica, los pacientes con diabetes tienen un incremento en la susceptibilidad a la infección por distintos virus, incluyendo los coronavirus. Ante una condición como la diabetes, existe un mayor potencial hacia el rápido progreso a complicaciones respiratorias y shock séptico. Lo cual eventualmente desencadena una falla orgánica y el aumento en el riesgo de mortalidad. Por otra parte, las comorbilidades propias de la diabetes están asociadas mayormente a la necesidad de admisión a la unidad de cuidados intensivos. </w:t>
      </w:r>
      <w:r>
        <w:rPr>
          <w:sz w:val="24"/>
          <w:szCs w:val="24"/>
          <w:vertAlign w:val="superscript"/>
          <w:lang w:val="es-ES"/>
        </w:rPr>
        <w:t>(7)</w:t>
      </w:r>
    </w:p>
    <w:p w:rsidR="00231E62" w:rsidRDefault="008A3C7F">
      <w:pPr>
        <w:rPr>
          <w:sz w:val="24"/>
          <w:szCs w:val="24"/>
          <w:lang w:val="es-ES"/>
        </w:rPr>
      </w:pPr>
      <w:r>
        <w:rPr>
          <w:sz w:val="24"/>
          <w:szCs w:val="24"/>
          <w:lang w:val="es-ES"/>
        </w:rPr>
        <w:t>La infección por coronavirus en diabetes puede condicionar a estrés fisiológico y por lo tanto incrementar la secreción de hormonas que promueven la elevación de la glucosa en sangre, tales como los glucocorticoides y catecolaminas, lo cual eleva la presión arterial, induce a una variabilidad glucémica anormal y al desarrollo de complicaciones.</w:t>
      </w:r>
      <w:r>
        <w:rPr>
          <w:sz w:val="24"/>
          <w:szCs w:val="24"/>
          <w:vertAlign w:val="superscript"/>
          <w:lang w:val="es-ES"/>
        </w:rPr>
        <w:t>(7)</w:t>
      </w:r>
      <w:r>
        <w:rPr>
          <w:sz w:val="24"/>
          <w:szCs w:val="24"/>
          <w:lang w:val="es-ES"/>
        </w:rPr>
        <w:t xml:space="preserve"> </w:t>
      </w:r>
    </w:p>
    <w:p w:rsidR="00231E62" w:rsidRDefault="008A3C7F">
      <w:pPr>
        <w:rPr>
          <w:sz w:val="24"/>
          <w:szCs w:val="24"/>
          <w:vertAlign w:val="superscript"/>
          <w:lang w:val="es-ES"/>
        </w:rPr>
      </w:pPr>
      <w:r>
        <w:rPr>
          <w:sz w:val="24"/>
          <w:szCs w:val="24"/>
          <w:lang w:val="es-ES"/>
        </w:rPr>
        <w:t xml:space="preserve">Así mismo, la sobreexpresión de enzima </w:t>
      </w:r>
      <w:proofErr w:type="spellStart"/>
      <w:r>
        <w:rPr>
          <w:sz w:val="24"/>
          <w:szCs w:val="24"/>
          <w:lang w:val="es-ES"/>
        </w:rPr>
        <w:t>convertidora</w:t>
      </w:r>
      <w:proofErr w:type="spellEnd"/>
      <w:r>
        <w:rPr>
          <w:sz w:val="24"/>
          <w:szCs w:val="24"/>
          <w:lang w:val="es-ES"/>
        </w:rPr>
        <w:t xml:space="preserve"> de angiotensina 2 (ACE2) en pacientes con diabetes puede estar implicada, ya que parece ser un mecanismo compensatorio utilizado para frenar el deterioro de la </w:t>
      </w:r>
      <w:proofErr w:type="spellStart"/>
      <w:r>
        <w:rPr>
          <w:sz w:val="24"/>
          <w:szCs w:val="24"/>
          <w:lang w:val="es-ES"/>
        </w:rPr>
        <w:t>microvasculatura</w:t>
      </w:r>
      <w:proofErr w:type="spellEnd"/>
      <w:r>
        <w:rPr>
          <w:sz w:val="24"/>
          <w:szCs w:val="24"/>
          <w:lang w:val="es-ES"/>
        </w:rPr>
        <w:t xml:space="preserve"> renal implicada en la nefropatía diabética a largo plazo, y a la vez para limitar el daño cardiovascular a largo plazo mediante la activación del eje ACE2/</w:t>
      </w:r>
      <w:proofErr w:type="spellStart"/>
      <w:r>
        <w:rPr>
          <w:sz w:val="24"/>
          <w:szCs w:val="24"/>
          <w:lang w:val="es-ES"/>
        </w:rPr>
        <w:t>Ang</w:t>
      </w:r>
      <w:proofErr w:type="spellEnd"/>
      <w:r>
        <w:rPr>
          <w:sz w:val="24"/>
          <w:szCs w:val="24"/>
          <w:lang w:val="es-ES"/>
        </w:rPr>
        <w:t>-(1-7)/</w:t>
      </w:r>
      <w:proofErr w:type="spellStart"/>
      <w:r>
        <w:rPr>
          <w:sz w:val="24"/>
          <w:szCs w:val="24"/>
          <w:lang w:val="es-ES"/>
        </w:rPr>
        <w:t>MasR</w:t>
      </w:r>
      <w:proofErr w:type="spellEnd"/>
      <w:r>
        <w:rPr>
          <w:sz w:val="24"/>
          <w:szCs w:val="24"/>
          <w:lang w:val="es-ES"/>
        </w:rPr>
        <w:t xml:space="preserve">. Por </w:t>
      </w:r>
      <w:r>
        <w:rPr>
          <w:sz w:val="24"/>
          <w:szCs w:val="24"/>
          <w:lang w:val="es-ES"/>
        </w:rPr>
        <w:lastRenderedPageBreak/>
        <w:t xml:space="preserve">otro lado, las </w:t>
      </w:r>
      <w:proofErr w:type="spellStart"/>
      <w:r>
        <w:rPr>
          <w:sz w:val="24"/>
          <w:szCs w:val="24"/>
          <w:lang w:val="es-ES"/>
        </w:rPr>
        <w:t>tiazolidinedionas</w:t>
      </w:r>
      <w:proofErr w:type="spellEnd"/>
      <w:r>
        <w:rPr>
          <w:sz w:val="24"/>
          <w:szCs w:val="24"/>
          <w:lang w:val="es-ES"/>
        </w:rPr>
        <w:t>, antidiabéticos orales, también se han relacionado con mayor expresión de la ACE2.</w:t>
      </w:r>
      <w:r>
        <w:rPr>
          <w:sz w:val="24"/>
          <w:szCs w:val="24"/>
          <w:vertAlign w:val="superscript"/>
          <w:lang w:val="es-ES"/>
        </w:rPr>
        <w:t xml:space="preserve"> (8)</w:t>
      </w:r>
    </w:p>
    <w:p w:rsidR="00231E62" w:rsidRDefault="008A3C7F">
      <w:pPr>
        <w:rPr>
          <w:i/>
          <w:sz w:val="24"/>
          <w:szCs w:val="24"/>
          <w:lang w:val="es-ES"/>
        </w:rPr>
      </w:pPr>
      <w:r>
        <w:rPr>
          <w:i/>
          <w:sz w:val="24"/>
          <w:szCs w:val="24"/>
          <w:lang w:val="es-ES"/>
        </w:rPr>
        <w:t>Obesidad y COVID-19</w:t>
      </w:r>
    </w:p>
    <w:p w:rsidR="00231E62" w:rsidRDefault="008A3C7F">
      <w:pPr>
        <w:rPr>
          <w:sz w:val="24"/>
          <w:szCs w:val="24"/>
          <w:lang w:val="es-ES"/>
        </w:rPr>
      </w:pPr>
      <w:r>
        <w:rPr>
          <w:sz w:val="24"/>
          <w:szCs w:val="24"/>
          <w:lang w:val="es-ES"/>
        </w:rPr>
        <w:t xml:space="preserve">Dadas las altas tasas de obesidad en todo el mundo, constituye un verdadero desafío el manejo de estos pacientes. La obesidad se asocia con una disminución en la capacidad y funcionamiento del sistema respiratorio.  En pacientes con obesidad abdominal aumentada, la función pulmonar se ve aún más comprometida, lo que dificulta la ventilación. Además, el aumento de las </w:t>
      </w:r>
      <w:proofErr w:type="spellStart"/>
      <w:r>
        <w:rPr>
          <w:sz w:val="24"/>
          <w:szCs w:val="24"/>
          <w:lang w:val="es-ES"/>
        </w:rPr>
        <w:t>citocinas</w:t>
      </w:r>
      <w:proofErr w:type="spellEnd"/>
      <w:r>
        <w:rPr>
          <w:sz w:val="24"/>
          <w:szCs w:val="24"/>
          <w:lang w:val="es-ES"/>
        </w:rPr>
        <w:t xml:space="preserve"> inflamatorias asociadas con la obesidad puede contribuir al aumento de la morbilidad asociada con la obesidad en las infecciones por COVID-19. </w:t>
      </w:r>
      <w:r>
        <w:rPr>
          <w:sz w:val="24"/>
          <w:szCs w:val="24"/>
          <w:vertAlign w:val="superscript"/>
          <w:lang w:val="es-ES"/>
        </w:rPr>
        <w:t>(9)</w:t>
      </w:r>
    </w:p>
    <w:p w:rsidR="00231E62" w:rsidRDefault="008A3C7F">
      <w:pPr>
        <w:rPr>
          <w:sz w:val="24"/>
          <w:szCs w:val="24"/>
          <w:lang w:val="es-ES"/>
        </w:rPr>
      </w:pPr>
      <w:r>
        <w:rPr>
          <w:sz w:val="24"/>
          <w:szCs w:val="24"/>
          <w:lang w:val="es-ES"/>
        </w:rPr>
        <w:t>La disminución de la vitamina D en personas con obesidad es un hallazgo constante. Esta vitamina, además de su papel en el mantenimiento de la integridad ósea, también estimula la maduración de diversas células, incluidas las células inmunes. Asimismo, se ha encontrado que la corrección del déficit de vitamina D tiene un efecto favorable sobre la masa muscular y el efecto mecánico de la depleción de la musculatura torácica puede aumentar el riesgo de mortalidad en estos pacientes. Otro elemento a considerar es el aporte ácidos grasos poliinsaturados de cadena larga (AGPI) los cuales son mediadores importantes de inflamación y la respuesta inmune adaptativa.</w:t>
      </w:r>
      <w:r>
        <w:rPr>
          <w:sz w:val="24"/>
          <w:szCs w:val="24"/>
          <w:vertAlign w:val="superscript"/>
          <w:lang w:val="es-ES"/>
        </w:rPr>
        <w:t xml:space="preserve"> (9)</w:t>
      </w:r>
    </w:p>
    <w:p w:rsidR="00231E62" w:rsidRDefault="008A3C7F">
      <w:pPr>
        <w:rPr>
          <w:sz w:val="24"/>
          <w:szCs w:val="24"/>
          <w:lang w:val="es-ES"/>
        </w:rPr>
      </w:pPr>
      <w:r>
        <w:rPr>
          <w:sz w:val="24"/>
          <w:szCs w:val="24"/>
          <w:lang w:val="es-ES"/>
        </w:rPr>
        <w:t>Existen otros nutrimentos como el zinc, que es un oligoelemento importante para el mantenimiento y el desarrollo de las células del sistema inmunitario innato y adaptativo. Así mismo, las vitaminas A, B, C y E juegan un rol importante en la reducción de la morbimortalidad en enfermedades infecciosas, cuya deficiencia también se ha relacionado con una débil respuesta inmune del huésped aumentando estados de estrés oxidativo.</w:t>
      </w:r>
      <w:r>
        <w:rPr>
          <w:sz w:val="24"/>
          <w:szCs w:val="24"/>
          <w:vertAlign w:val="superscript"/>
          <w:lang w:val="es-ES"/>
        </w:rPr>
        <w:t xml:space="preserve"> (9)</w:t>
      </w:r>
      <w:r>
        <w:rPr>
          <w:sz w:val="24"/>
          <w:szCs w:val="24"/>
          <w:lang w:val="es-ES"/>
        </w:rPr>
        <w:t xml:space="preserve"> </w:t>
      </w:r>
    </w:p>
    <w:p w:rsidR="00231E62" w:rsidRDefault="008A3C7F">
      <w:pPr>
        <w:rPr>
          <w:i/>
          <w:sz w:val="24"/>
          <w:szCs w:val="24"/>
          <w:lang w:val="es-ES"/>
        </w:rPr>
      </w:pPr>
      <w:r>
        <w:rPr>
          <w:i/>
          <w:sz w:val="24"/>
          <w:szCs w:val="24"/>
          <w:lang w:val="es-ES"/>
        </w:rPr>
        <w:t>Recomendaciones generales en el aspecto nutricional para todos los grupos poblacionales afectados por COVID-19</w:t>
      </w:r>
      <w:r>
        <w:rPr>
          <w:i/>
          <w:sz w:val="24"/>
          <w:szCs w:val="24"/>
          <w:lang w:val="es-ES"/>
        </w:rPr>
        <w:tab/>
      </w:r>
    </w:p>
    <w:p w:rsidR="00231E62" w:rsidRDefault="008A3C7F">
      <w:pPr>
        <w:rPr>
          <w:sz w:val="24"/>
          <w:szCs w:val="24"/>
          <w:lang w:val="es-ES"/>
        </w:rPr>
      </w:pPr>
      <w:r>
        <w:rPr>
          <w:sz w:val="24"/>
          <w:szCs w:val="24"/>
          <w:lang w:val="es-ES"/>
        </w:rPr>
        <w:t xml:space="preserve">Son especialmente relevantes aquellos patrones alimentarios que permiten modular el estado inflamatorio y el balance </w:t>
      </w:r>
      <w:proofErr w:type="spellStart"/>
      <w:r>
        <w:rPr>
          <w:sz w:val="24"/>
          <w:szCs w:val="24"/>
          <w:lang w:val="es-ES"/>
        </w:rPr>
        <w:t>redox</w:t>
      </w:r>
      <w:proofErr w:type="spellEnd"/>
      <w:r>
        <w:rPr>
          <w:sz w:val="24"/>
          <w:szCs w:val="24"/>
          <w:lang w:val="es-ES"/>
        </w:rPr>
        <w:t xml:space="preserve"> sistémico. Dentro de los modelos alimentarios actuales destaca la dieta mediterránea por presentar bajo potencial inflamatorio y alto potencial </w:t>
      </w:r>
      <w:proofErr w:type="spellStart"/>
      <w:r>
        <w:rPr>
          <w:sz w:val="24"/>
          <w:szCs w:val="24"/>
          <w:lang w:val="es-ES"/>
        </w:rPr>
        <w:t>inmunomodulador</w:t>
      </w:r>
      <w:proofErr w:type="spellEnd"/>
      <w:r>
        <w:rPr>
          <w:sz w:val="24"/>
          <w:szCs w:val="24"/>
          <w:lang w:val="es-ES"/>
        </w:rPr>
        <w:t xml:space="preserve">, al ser rica en verduras y frutas y escasa en grasas </w:t>
      </w:r>
      <w:proofErr w:type="spellStart"/>
      <w:r>
        <w:rPr>
          <w:sz w:val="24"/>
          <w:szCs w:val="24"/>
          <w:lang w:val="es-ES"/>
        </w:rPr>
        <w:t>trans</w:t>
      </w:r>
      <w:proofErr w:type="spellEnd"/>
      <w:r>
        <w:rPr>
          <w:sz w:val="24"/>
          <w:szCs w:val="24"/>
          <w:lang w:val="es-ES"/>
        </w:rPr>
        <w:t xml:space="preserve"> y saturadas. Además, en este tipo de dieta destacan alimentos de alto valor biológico. La dieta mediterránea, gracias a estas cualidades podría disminuir la severidad de los síntomas.</w:t>
      </w:r>
      <w:r>
        <w:rPr>
          <w:sz w:val="24"/>
          <w:szCs w:val="24"/>
          <w:vertAlign w:val="superscript"/>
          <w:lang w:val="es-ES"/>
        </w:rPr>
        <w:t xml:space="preserve"> (10)</w:t>
      </w:r>
    </w:p>
    <w:p w:rsidR="00231E62" w:rsidRDefault="008A3C7F">
      <w:pPr>
        <w:rPr>
          <w:sz w:val="24"/>
          <w:szCs w:val="24"/>
          <w:vertAlign w:val="superscript"/>
          <w:lang w:val="es-ES"/>
        </w:rPr>
      </w:pPr>
      <w:r>
        <w:rPr>
          <w:sz w:val="24"/>
          <w:szCs w:val="24"/>
          <w:lang w:val="es-ES"/>
        </w:rPr>
        <w:t>Se recomienda un consumo bajo de carbohidratos, debido a pueden elevar el riesgo de obesidad, así como las enfermedades cardiovasculares asociadas a la misma y síntomas diabéticos. Se ha asociado la hiperglucemia en diabéticos y no diabéticos con un mal pronóstico de la enfermedad. Cuando el virus interacciona con el receptor ACE2 del páncreas provoca una lesión directa en las células beta de los islotes pancreáticos, causando un déficit parcial o total de insulina con el consiguiente empeoramiento de la diabetes.</w:t>
      </w:r>
      <w:r>
        <w:rPr>
          <w:sz w:val="24"/>
          <w:szCs w:val="24"/>
          <w:vertAlign w:val="superscript"/>
          <w:lang w:val="es-ES"/>
        </w:rPr>
        <w:t xml:space="preserve"> (11)</w:t>
      </w:r>
    </w:p>
    <w:p w:rsidR="00231E62" w:rsidRDefault="008A3C7F">
      <w:pPr>
        <w:rPr>
          <w:sz w:val="24"/>
          <w:szCs w:val="24"/>
          <w:vertAlign w:val="superscript"/>
          <w:lang w:val="es-ES"/>
        </w:rPr>
      </w:pPr>
      <w:r>
        <w:rPr>
          <w:sz w:val="24"/>
          <w:szCs w:val="24"/>
          <w:lang w:val="es-ES"/>
        </w:rPr>
        <w:t xml:space="preserve">Un consumo elevado de ácidos grasos saturados puede inducir un estado </w:t>
      </w:r>
      <w:proofErr w:type="spellStart"/>
      <w:r>
        <w:rPr>
          <w:sz w:val="24"/>
          <w:szCs w:val="24"/>
          <w:lang w:val="es-ES"/>
        </w:rPr>
        <w:t>lipotóxico</w:t>
      </w:r>
      <w:proofErr w:type="spellEnd"/>
      <w:r>
        <w:rPr>
          <w:sz w:val="24"/>
          <w:szCs w:val="24"/>
          <w:lang w:val="es-ES"/>
        </w:rPr>
        <w:t xml:space="preserve"> y provocar inflamación del tejido adiposo. Dentro de los ácidos grasos poliinsaturados, los de la serie omega-6, que se encuentran en los aceites de semillas y frutos secos, tienen capacidad antimicrobiana, antiviral y antioxidante. Son principalmente </w:t>
      </w:r>
      <w:proofErr w:type="spellStart"/>
      <w:r>
        <w:rPr>
          <w:sz w:val="24"/>
          <w:szCs w:val="24"/>
          <w:lang w:val="es-ES"/>
        </w:rPr>
        <w:t>proinflamatorios</w:t>
      </w:r>
      <w:proofErr w:type="spellEnd"/>
      <w:r>
        <w:rPr>
          <w:sz w:val="24"/>
          <w:szCs w:val="24"/>
          <w:lang w:val="es-ES"/>
        </w:rPr>
        <w:t xml:space="preserve"> al ser precursores de determinadas prostaglandinas y </w:t>
      </w:r>
      <w:proofErr w:type="spellStart"/>
      <w:r>
        <w:rPr>
          <w:sz w:val="24"/>
          <w:szCs w:val="24"/>
          <w:lang w:val="es-ES"/>
        </w:rPr>
        <w:t>leucotrienos</w:t>
      </w:r>
      <w:proofErr w:type="spellEnd"/>
      <w:r>
        <w:rPr>
          <w:sz w:val="24"/>
          <w:szCs w:val="24"/>
          <w:lang w:val="es-ES"/>
        </w:rPr>
        <w:t>. Los ácidos grasos omega-3, presentes en el pescado y marisco, han demostrado reducir la inflamación causada por la respuesta inmunitaria mientras que, a su vez, activan las células del sistema inmune adaptativo e innato.</w:t>
      </w:r>
      <w:r>
        <w:rPr>
          <w:sz w:val="24"/>
          <w:szCs w:val="24"/>
          <w:vertAlign w:val="superscript"/>
          <w:lang w:val="es-ES"/>
        </w:rPr>
        <w:t>(12)</w:t>
      </w:r>
    </w:p>
    <w:p w:rsidR="00231E62" w:rsidRDefault="008A3C7F">
      <w:pPr>
        <w:rPr>
          <w:sz w:val="24"/>
          <w:szCs w:val="24"/>
          <w:lang w:val="es-ES"/>
        </w:rPr>
      </w:pPr>
      <w:r>
        <w:rPr>
          <w:sz w:val="24"/>
          <w:szCs w:val="24"/>
          <w:lang w:val="es-ES"/>
        </w:rPr>
        <w:lastRenderedPageBreak/>
        <w:t xml:space="preserve">Entre los ácidos grasos omega-3 con efecto beneficioso en el tratamiento de la COVID-19 destacan el ácido </w:t>
      </w:r>
      <w:proofErr w:type="spellStart"/>
      <w:r>
        <w:rPr>
          <w:sz w:val="24"/>
          <w:szCs w:val="24"/>
          <w:lang w:val="es-ES"/>
        </w:rPr>
        <w:t>eicosapentaenoico</w:t>
      </w:r>
      <w:proofErr w:type="spellEnd"/>
      <w:r>
        <w:rPr>
          <w:sz w:val="24"/>
          <w:szCs w:val="24"/>
          <w:lang w:val="es-ES"/>
        </w:rPr>
        <w:t xml:space="preserve"> (EPA) y el ácido </w:t>
      </w:r>
      <w:proofErr w:type="spellStart"/>
      <w:r>
        <w:rPr>
          <w:sz w:val="24"/>
          <w:szCs w:val="24"/>
          <w:lang w:val="es-ES"/>
        </w:rPr>
        <w:t>docosahexaenoico</w:t>
      </w:r>
      <w:proofErr w:type="spellEnd"/>
      <w:r>
        <w:rPr>
          <w:sz w:val="24"/>
          <w:szCs w:val="24"/>
          <w:lang w:val="es-ES"/>
        </w:rPr>
        <w:t xml:space="preserve"> (DHA), que han demostrado su potencial para reducir los días de tratamiento, la necesidad de ventiladores y también la tasa de mortalidad.</w:t>
      </w:r>
      <w:r>
        <w:rPr>
          <w:sz w:val="24"/>
          <w:szCs w:val="24"/>
          <w:vertAlign w:val="superscript"/>
          <w:lang w:val="es-ES"/>
        </w:rPr>
        <w:t xml:space="preserve"> (13)</w:t>
      </w:r>
    </w:p>
    <w:p w:rsidR="00231E62" w:rsidRDefault="008A3C7F">
      <w:pPr>
        <w:rPr>
          <w:sz w:val="24"/>
          <w:szCs w:val="24"/>
          <w:vertAlign w:val="superscript"/>
          <w:lang w:val="es-ES"/>
        </w:rPr>
      </w:pPr>
      <w:r>
        <w:rPr>
          <w:sz w:val="24"/>
          <w:szCs w:val="24"/>
          <w:lang w:val="es-ES"/>
        </w:rPr>
        <w:t xml:space="preserve">La baja ingesta de proteínas aumenta el riesgo de infección. Los pacientes con COVID-19 tienden a presentar desnutrición en el momento de la hospitalización. La inmovilización prolongada y la respiración asistida contribuyen a la desnutrición, pérdida de masa muscular y </w:t>
      </w:r>
      <w:proofErr w:type="spellStart"/>
      <w:r>
        <w:rPr>
          <w:sz w:val="24"/>
          <w:szCs w:val="24"/>
          <w:lang w:val="es-ES"/>
        </w:rPr>
        <w:t>sarcopenia</w:t>
      </w:r>
      <w:proofErr w:type="spellEnd"/>
      <w:r>
        <w:rPr>
          <w:sz w:val="24"/>
          <w:szCs w:val="24"/>
          <w:lang w:val="es-ES"/>
        </w:rPr>
        <w:t xml:space="preserve">. Las dietas ricas en proteínas de origen animal se han asociado con aspectos </w:t>
      </w:r>
      <w:proofErr w:type="spellStart"/>
      <w:r>
        <w:rPr>
          <w:sz w:val="24"/>
          <w:szCs w:val="24"/>
          <w:lang w:val="es-ES"/>
        </w:rPr>
        <w:t>proinflamatorios</w:t>
      </w:r>
      <w:proofErr w:type="spellEnd"/>
      <w:r>
        <w:rPr>
          <w:sz w:val="24"/>
          <w:szCs w:val="24"/>
          <w:lang w:val="es-ES"/>
        </w:rPr>
        <w:t xml:space="preserve"> debido a la cantidad de grasa saturada y al alto contenido de calorías de los alimentos que las contienen; sin embargo, a las proteínas de origen vegetal se les han atribuido propiedades antiinflamatorias.</w:t>
      </w:r>
      <w:r>
        <w:rPr>
          <w:sz w:val="24"/>
          <w:szCs w:val="24"/>
          <w:vertAlign w:val="superscript"/>
          <w:lang w:val="es-ES"/>
        </w:rPr>
        <w:t>(14,15)</w:t>
      </w:r>
    </w:p>
    <w:p w:rsidR="00231E62" w:rsidRDefault="008A3C7F">
      <w:pPr>
        <w:rPr>
          <w:sz w:val="24"/>
          <w:szCs w:val="24"/>
          <w:vertAlign w:val="superscript"/>
          <w:lang w:val="es-ES"/>
        </w:rPr>
      </w:pPr>
      <w:r>
        <w:rPr>
          <w:sz w:val="24"/>
          <w:szCs w:val="24"/>
          <w:lang w:val="es-ES"/>
        </w:rPr>
        <w:t xml:space="preserve">La suplementación con arginina aumenta el número de células T </w:t>
      </w:r>
      <w:proofErr w:type="spellStart"/>
      <w:r>
        <w:rPr>
          <w:sz w:val="24"/>
          <w:szCs w:val="24"/>
          <w:lang w:val="es-ES"/>
        </w:rPr>
        <w:t>helper</w:t>
      </w:r>
      <w:proofErr w:type="spellEnd"/>
      <w:r>
        <w:rPr>
          <w:sz w:val="24"/>
          <w:szCs w:val="24"/>
          <w:lang w:val="es-ES"/>
        </w:rPr>
        <w:t xml:space="preserve"> y ayuda a recuperar el normal funcionamiento de las mismas después de las operaciones. Por otro lado, la glutamina juega un papel clave en el control de la proliferación de linfocitos, neutrófilos y macrófagos, activando proteínas que participan en la transducción de señales, como las quinasas ERK (quinasa regulada por señales extracelulares) y JNK (quinasa Jun N-terminal).</w:t>
      </w:r>
      <w:r>
        <w:rPr>
          <w:sz w:val="24"/>
          <w:szCs w:val="24"/>
          <w:vertAlign w:val="superscript"/>
          <w:lang w:val="es-ES"/>
        </w:rPr>
        <w:t xml:space="preserve"> (16)</w:t>
      </w:r>
    </w:p>
    <w:p w:rsidR="00231E62" w:rsidRDefault="008A3C7F">
      <w:pPr>
        <w:rPr>
          <w:sz w:val="24"/>
          <w:szCs w:val="24"/>
          <w:vertAlign w:val="superscript"/>
          <w:lang w:val="es-ES"/>
        </w:rPr>
      </w:pPr>
      <w:r>
        <w:rPr>
          <w:sz w:val="24"/>
          <w:szCs w:val="24"/>
          <w:lang w:val="es-ES"/>
        </w:rPr>
        <w:t>Se recomienda seguir una dieta equilibrada y variada, y solo emplear la suplementación con vitaminas y minerales en casos indicados, con dosis que no excedan los límites recomendados por los organismos sanitarios, ya que, sobrepasarlos podría resultar tóxico. Estudios recientes sobre el manejo terapéutico de la COVID-19 proponen brindar apoyo nutricional con suplementos de micronutrientes solo en pacientes en los que se manifiestan deficiencias nutricionales.</w:t>
      </w:r>
      <w:r>
        <w:rPr>
          <w:sz w:val="24"/>
          <w:szCs w:val="24"/>
          <w:vertAlign w:val="superscript"/>
          <w:lang w:val="es-ES"/>
        </w:rPr>
        <w:t xml:space="preserve"> (17)</w:t>
      </w:r>
    </w:p>
    <w:p w:rsidR="00231E62" w:rsidRDefault="008A3C7F">
      <w:pPr>
        <w:rPr>
          <w:sz w:val="24"/>
          <w:szCs w:val="24"/>
          <w:vertAlign w:val="superscript"/>
          <w:lang w:val="es-ES"/>
        </w:rPr>
      </w:pPr>
      <w:r>
        <w:rPr>
          <w:sz w:val="24"/>
          <w:szCs w:val="24"/>
          <w:lang w:val="es-ES"/>
        </w:rPr>
        <w:t xml:space="preserve">La vitamina A, a través de su metabolito activo (ácido retinoico), juega un papel fundamental tanto en el mantenimiento y modulación de la respuesta inmune, como en la homeostasis de tejidos epiteliales y mucosas, además es importante en la regulación de la inflamación. Su deficiencia aumentó la inflamación de las vías respiratorias en un modelo de asma con una mayor inducción de las </w:t>
      </w:r>
      <w:proofErr w:type="spellStart"/>
      <w:r>
        <w:rPr>
          <w:sz w:val="24"/>
          <w:szCs w:val="24"/>
          <w:lang w:val="es-ES"/>
        </w:rPr>
        <w:t>citocinas</w:t>
      </w:r>
      <w:proofErr w:type="spellEnd"/>
      <w:r>
        <w:rPr>
          <w:sz w:val="24"/>
          <w:szCs w:val="24"/>
          <w:lang w:val="es-ES"/>
        </w:rPr>
        <w:t xml:space="preserve"> tipo 2 IL-5 e IL-13.</w:t>
      </w:r>
      <w:r>
        <w:rPr>
          <w:sz w:val="24"/>
          <w:szCs w:val="24"/>
          <w:vertAlign w:val="superscript"/>
          <w:lang w:val="es-ES"/>
        </w:rPr>
        <w:t xml:space="preserve"> (18)</w:t>
      </w:r>
    </w:p>
    <w:p w:rsidR="00231E62" w:rsidRDefault="008A3C7F">
      <w:pPr>
        <w:rPr>
          <w:sz w:val="24"/>
          <w:szCs w:val="24"/>
          <w:vertAlign w:val="superscript"/>
          <w:lang w:val="es-ES"/>
        </w:rPr>
      </w:pPr>
      <w:r>
        <w:rPr>
          <w:sz w:val="24"/>
          <w:szCs w:val="24"/>
          <w:lang w:val="es-ES"/>
        </w:rPr>
        <w:t xml:space="preserve">Los pacientes con COVID-19 suelen presentar déficit de la vitamina D. La suplementación con </w:t>
      </w:r>
      <w:proofErr w:type="spellStart"/>
      <w:r>
        <w:rPr>
          <w:sz w:val="24"/>
          <w:szCs w:val="24"/>
          <w:lang w:val="es-ES"/>
        </w:rPr>
        <w:t>colecalciferol</w:t>
      </w:r>
      <w:proofErr w:type="spellEnd"/>
      <w:r>
        <w:rPr>
          <w:sz w:val="24"/>
          <w:szCs w:val="24"/>
          <w:lang w:val="es-ES"/>
        </w:rPr>
        <w:t xml:space="preserve"> produce una disminución significativa de IL-6 y de la mortalidad. Existe una relación inversa entre los niveles de vitamina D y la mortalidad por COVID-19, por lo que se ha propuesto la suplementación en personas con riesgo de contraer la infección. Sin embargo, todavía no existe evidencia científica para recomendar el tratamiento en pacientes que no presenten déficit.</w:t>
      </w:r>
      <w:r>
        <w:rPr>
          <w:sz w:val="24"/>
          <w:szCs w:val="24"/>
          <w:vertAlign w:val="superscript"/>
          <w:lang w:val="es-ES"/>
        </w:rPr>
        <w:t xml:space="preserve"> (19)</w:t>
      </w:r>
    </w:p>
    <w:p w:rsidR="00231E62" w:rsidRDefault="008A3C7F">
      <w:pPr>
        <w:rPr>
          <w:sz w:val="24"/>
          <w:szCs w:val="24"/>
          <w:vertAlign w:val="superscript"/>
          <w:lang w:val="es-ES"/>
        </w:rPr>
      </w:pPr>
      <w:r>
        <w:rPr>
          <w:sz w:val="24"/>
          <w:szCs w:val="24"/>
          <w:lang w:val="es-ES"/>
        </w:rPr>
        <w:t>En cuanto a la vitamina E, a pesar de su capacidad de reducción del estrés oxidativo, tampoco hay estudios que avalen su uso como agente profiláctico o terapéutico. En algunos estudios se encontró que los pacientes que tomaban suplementos de vitamina E disminuyeron su puntuación significativamente en la escala de APACHE II (</w:t>
      </w:r>
      <w:proofErr w:type="spellStart"/>
      <w:r>
        <w:rPr>
          <w:sz w:val="24"/>
          <w:szCs w:val="24"/>
          <w:lang w:val="es-ES"/>
        </w:rPr>
        <w:t>Acute</w:t>
      </w:r>
      <w:proofErr w:type="spellEnd"/>
      <w:r>
        <w:rPr>
          <w:sz w:val="24"/>
          <w:szCs w:val="24"/>
          <w:lang w:val="es-ES"/>
        </w:rPr>
        <w:t xml:space="preserve"> </w:t>
      </w:r>
      <w:proofErr w:type="spellStart"/>
      <w:r>
        <w:rPr>
          <w:sz w:val="24"/>
          <w:szCs w:val="24"/>
          <w:lang w:val="es-ES"/>
        </w:rPr>
        <w:t>Physiology</w:t>
      </w:r>
      <w:proofErr w:type="spellEnd"/>
      <w:r>
        <w:rPr>
          <w:sz w:val="24"/>
          <w:szCs w:val="24"/>
          <w:lang w:val="es-ES"/>
        </w:rPr>
        <w:t xml:space="preserve"> And </w:t>
      </w:r>
      <w:proofErr w:type="spellStart"/>
      <w:r>
        <w:rPr>
          <w:sz w:val="24"/>
          <w:szCs w:val="24"/>
          <w:lang w:val="es-ES"/>
        </w:rPr>
        <w:t>Chronic</w:t>
      </w:r>
      <w:proofErr w:type="spellEnd"/>
      <w:r>
        <w:rPr>
          <w:sz w:val="24"/>
          <w:szCs w:val="24"/>
          <w:lang w:val="es-ES"/>
        </w:rPr>
        <w:t xml:space="preserve"> </w:t>
      </w:r>
      <w:proofErr w:type="spellStart"/>
      <w:r>
        <w:rPr>
          <w:sz w:val="24"/>
          <w:szCs w:val="24"/>
          <w:lang w:val="es-ES"/>
        </w:rPr>
        <w:t>Health</w:t>
      </w:r>
      <w:proofErr w:type="spellEnd"/>
      <w:r>
        <w:rPr>
          <w:sz w:val="24"/>
          <w:szCs w:val="24"/>
          <w:lang w:val="es-ES"/>
        </w:rPr>
        <w:t xml:space="preserve"> </w:t>
      </w:r>
      <w:proofErr w:type="spellStart"/>
      <w:r>
        <w:rPr>
          <w:sz w:val="24"/>
          <w:szCs w:val="24"/>
          <w:lang w:val="es-ES"/>
        </w:rPr>
        <w:t>Evaluation</w:t>
      </w:r>
      <w:proofErr w:type="spellEnd"/>
      <w:r>
        <w:rPr>
          <w:sz w:val="24"/>
          <w:szCs w:val="24"/>
          <w:lang w:val="es-ES"/>
        </w:rPr>
        <w:t xml:space="preserve"> II) frente a placebo.</w:t>
      </w:r>
      <w:r>
        <w:rPr>
          <w:sz w:val="24"/>
          <w:szCs w:val="24"/>
          <w:vertAlign w:val="superscript"/>
          <w:lang w:val="es-ES"/>
        </w:rPr>
        <w:t xml:space="preserve"> (20)</w:t>
      </w:r>
    </w:p>
    <w:p w:rsidR="00231E62" w:rsidRDefault="008A3C7F">
      <w:pPr>
        <w:rPr>
          <w:sz w:val="24"/>
          <w:szCs w:val="24"/>
          <w:vertAlign w:val="superscript"/>
          <w:lang w:val="es-ES"/>
        </w:rPr>
      </w:pPr>
      <w:r>
        <w:rPr>
          <w:sz w:val="24"/>
          <w:szCs w:val="24"/>
          <w:lang w:val="es-ES"/>
        </w:rPr>
        <w:t xml:space="preserve">En febrero 2020, en el Hospital </w:t>
      </w:r>
      <w:proofErr w:type="spellStart"/>
      <w:r>
        <w:rPr>
          <w:sz w:val="24"/>
          <w:szCs w:val="24"/>
          <w:lang w:val="es-ES"/>
        </w:rPr>
        <w:t>Zhingman</w:t>
      </w:r>
      <w:proofErr w:type="spellEnd"/>
      <w:r>
        <w:rPr>
          <w:sz w:val="24"/>
          <w:szCs w:val="24"/>
          <w:lang w:val="es-ES"/>
        </w:rPr>
        <w:t xml:space="preserve"> en Wuhan, China, dieron a conocer un estudio sobre la efectividad de la vitamina C como parte del manejo de la neumonía grave secundaria a COVID-19. Los primeros estudios clínicos han sugerido que la vitamina C puede contribuir a la prevención del proceso inflamatorio producido durante la sepsis.</w:t>
      </w:r>
      <w:r>
        <w:rPr>
          <w:sz w:val="24"/>
          <w:szCs w:val="24"/>
          <w:vertAlign w:val="superscript"/>
          <w:lang w:val="es-ES"/>
        </w:rPr>
        <w:t xml:space="preserve"> (21)</w:t>
      </w:r>
    </w:p>
    <w:p w:rsidR="00231E62" w:rsidRDefault="008A3C7F">
      <w:pPr>
        <w:rPr>
          <w:sz w:val="24"/>
          <w:szCs w:val="24"/>
          <w:vertAlign w:val="superscript"/>
          <w:lang w:val="es-ES"/>
        </w:rPr>
      </w:pPr>
      <w:r>
        <w:rPr>
          <w:sz w:val="24"/>
          <w:szCs w:val="24"/>
          <w:lang w:val="es-ES"/>
        </w:rPr>
        <w:t xml:space="preserve">Existe evidencia científica que apoya el efecto protector de las dosis altas por vía intravenosa en pacientes con síndrome de dificultad respiratoria aguda por sepsis, asociándose a una rápida resolución de las lesiones pulmonares sin evidencia de secuelas </w:t>
      </w:r>
      <w:proofErr w:type="spellStart"/>
      <w:r>
        <w:rPr>
          <w:sz w:val="24"/>
          <w:szCs w:val="24"/>
          <w:lang w:val="es-ES"/>
        </w:rPr>
        <w:t>fibroproliferativas</w:t>
      </w:r>
      <w:proofErr w:type="spellEnd"/>
      <w:r>
        <w:rPr>
          <w:sz w:val="24"/>
          <w:szCs w:val="24"/>
          <w:lang w:val="es-ES"/>
        </w:rPr>
        <w:t xml:space="preserve"> posteriores al SDRA. El ácido ascórbico refuerza la barrera alvéolo capilar, </w:t>
      </w:r>
      <w:proofErr w:type="spellStart"/>
      <w:r>
        <w:rPr>
          <w:sz w:val="24"/>
          <w:szCs w:val="24"/>
          <w:lang w:val="es-ES"/>
        </w:rPr>
        <w:t>sobrerregula</w:t>
      </w:r>
      <w:proofErr w:type="spellEnd"/>
      <w:r>
        <w:rPr>
          <w:sz w:val="24"/>
          <w:szCs w:val="24"/>
          <w:lang w:val="es-ES"/>
        </w:rPr>
        <w:t xml:space="preserve"> la transcripción de los canales proteicos y regula la limpieza alveolar.</w:t>
      </w:r>
      <w:r>
        <w:rPr>
          <w:sz w:val="24"/>
          <w:szCs w:val="24"/>
          <w:vertAlign w:val="superscript"/>
          <w:lang w:val="es-ES"/>
        </w:rPr>
        <w:t xml:space="preserve"> (21)</w:t>
      </w:r>
    </w:p>
    <w:p w:rsidR="00231E62" w:rsidRDefault="008A3C7F">
      <w:pPr>
        <w:rPr>
          <w:sz w:val="24"/>
          <w:szCs w:val="24"/>
          <w:vertAlign w:val="superscript"/>
          <w:lang w:val="es-ES"/>
        </w:rPr>
      </w:pPr>
      <w:r>
        <w:rPr>
          <w:sz w:val="24"/>
          <w:szCs w:val="24"/>
          <w:lang w:val="es-ES"/>
        </w:rPr>
        <w:lastRenderedPageBreak/>
        <w:t>La activación de enzimas con capacidad antioxidante se ha relacionado con la presencia de Zn</w:t>
      </w:r>
      <w:r>
        <w:rPr>
          <w:sz w:val="24"/>
          <w:szCs w:val="24"/>
          <w:vertAlign w:val="superscript"/>
          <w:lang w:val="es-ES"/>
        </w:rPr>
        <w:t>2+</w:t>
      </w:r>
      <w:r>
        <w:rPr>
          <w:sz w:val="24"/>
          <w:szCs w:val="24"/>
          <w:lang w:val="es-ES"/>
        </w:rPr>
        <w:t xml:space="preserve"> libre. Por otra parte, unos niveles elevados de zinc reducen la replicación del SARS-COV-2, inhibiendo la ARN polimerasa.  En los pulmones tiene efecto protector como terapia preventiva, además de reducir la inflamación, mejorando el aclaramiento </w:t>
      </w:r>
      <w:proofErr w:type="spellStart"/>
      <w:r>
        <w:rPr>
          <w:sz w:val="24"/>
          <w:szCs w:val="24"/>
          <w:lang w:val="es-ES"/>
        </w:rPr>
        <w:t>mucociliar</w:t>
      </w:r>
      <w:proofErr w:type="spellEnd"/>
      <w:r>
        <w:rPr>
          <w:sz w:val="24"/>
          <w:szCs w:val="24"/>
          <w:lang w:val="es-ES"/>
        </w:rPr>
        <w:t>. La deficiencia de este mineral se relaciona con una respuesta inmunitaria deficiente y un aumento de susceptibilidad frente a las infecciones.</w:t>
      </w:r>
      <w:r>
        <w:rPr>
          <w:sz w:val="24"/>
          <w:szCs w:val="24"/>
          <w:vertAlign w:val="superscript"/>
          <w:lang w:val="es-ES"/>
        </w:rPr>
        <w:t xml:space="preserve"> (22)</w:t>
      </w:r>
    </w:p>
    <w:p w:rsidR="00231E62" w:rsidRDefault="008A3C7F">
      <w:pPr>
        <w:rPr>
          <w:sz w:val="24"/>
          <w:szCs w:val="24"/>
          <w:lang w:val="es-ES"/>
        </w:rPr>
      </w:pPr>
      <w:r>
        <w:rPr>
          <w:sz w:val="24"/>
          <w:szCs w:val="24"/>
          <w:lang w:val="es-ES"/>
        </w:rPr>
        <w:t>El consumo de fuentes de selenio es primordial, puesto que los niveles de este micronutriente se han relacionado con elevadas tasas de curación en COVID-19. Datos emergentes sugieren que el selenio puede actuar para modificar los patrones de expresión genética en los virus. Los estudios en animales han demostrado que la deficiencia provoca cambios genéticos específicos en virus, promoviéndose la virulencia en cepas virales benignas y provocando una mayor virulencia en cepas ya virulentas.</w:t>
      </w:r>
      <w:r>
        <w:rPr>
          <w:sz w:val="24"/>
          <w:szCs w:val="24"/>
          <w:vertAlign w:val="superscript"/>
          <w:lang w:val="es-ES"/>
        </w:rPr>
        <w:t xml:space="preserve"> (22)</w:t>
      </w:r>
      <w:r>
        <w:rPr>
          <w:sz w:val="24"/>
          <w:szCs w:val="24"/>
          <w:lang w:val="es-ES"/>
        </w:rPr>
        <w:t xml:space="preserve"> </w:t>
      </w:r>
    </w:p>
    <w:p w:rsidR="00231E62" w:rsidRDefault="008A3C7F">
      <w:pPr>
        <w:pStyle w:val="heading1"/>
        <w:rPr>
          <w:rStyle w:val="AbsatzNormal"/>
          <w:sz w:val="24"/>
          <w:szCs w:val="24"/>
          <w:lang w:val="es-ES"/>
        </w:rPr>
      </w:pPr>
      <w:r>
        <w:rPr>
          <w:rStyle w:val="AbsatzNormal"/>
          <w:sz w:val="24"/>
          <w:szCs w:val="24"/>
          <w:lang w:val="es-ES"/>
        </w:rPr>
        <w:t xml:space="preserve">CONCLUSIONeS </w:t>
      </w:r>
    </w:p>
    <w:p w:rsidR="00231E62" w:rsidRDefault="008A3C7F">
      <w:pPr>
        <w:rPr>
          <w:sz w:val="24"/>
          <w:szCs w:val="24"/>
          <w:lang w:val="es-VE"/>
        </w:rPr>
      </w:pPr>
      <w:r>
        <w:rPr>
          <w:sz w:val="24"/>
          <w:szCs w:val="24"/>
          <w:lang w:val="es-VE"/>
        </w:rPr>
        <w:t>Se considera prioritario ampliar el horizonte de investigaciones que evalúen la relación entre manejo nutricional del paciente con COVID-19 y su evolución clínica.</w:t>
      </w:r>
    </w:p>
    <w:p w:rsidR="00231E62" w:rsidRDefault="008A3C7F">
      <w:pPr>
        <w:pStyle w:val="heading1withoutNr"/>
        <w:rPr>
          <w:rStyle w:val="AbsatzNormal"/>
          <w:sz w:val="24"/>
          <w:szCs w:val="24"/>
          <w:lang w:val="es-ES"/>
        </w:rPr>
      </w:pPr>
      <w:r>
        <w:rPr>
          <w:rStyle w:val="initial12"/>
          <w:lang w:val="es-ES"/>
        </w:rPr>
        <w:t>R</w:t>
      </w:r>
      <w:r>
        <w:rPr>
          <w:rStyle w:val="AbsatzNormal"/>
          <w:sz w:val="24"/>
          <w:szCs w:val="24"/>
          <w:lang w:val="es-ES"/>
        </w:rPr>
        <w:t xml:space="preserve">EFERENCIaS </w:t>
      </w:r>
    </w:p>
    <w:p w:rsidR="00231E62" w:rsidRDefault="008A3C7F">
      <w:pPr>
        <w:numPr>
          <w:ilvl w:val="0"/>
          <w:numId w:val="38"/>
        </w:numPr>
        <w:rPr>
          <w:sz w:val="24"/>
          <w:szCs w:val="24"/>
          <w:lang w:val="es-VE"/>
        </w:rPr>
      </w:pPr>
      <w:r>
        <w:rPr>
          <w:sz w:val="24"/>
          <w:szCs w:val="24"/>
          <w:lang w:val="es-VE"/>
        </w:rPr>
        <w:t>Pérez Santana M.B. Sobre la alimentación y la nutrición en la COVID-19. RCAN. Junio 2020:30(1); S71-S107. Disponible en: http://www.revalnutricion.sld.cu/index.php/rcan/article/view/992</w:t>
      </w:r>
    </w:p>
    <w:p w:rsidR="00231E62" w:rsidRDefault="008A3C7F">
      <w:pPr>
        <w:numPr>
          <w:ilvl w:val="0"/>
          <w:numId w:val="38"/>
        </w:numPr>
        <w:rPr>
          <w:sz w:val="24"/>
          <w:szCs w:val="24"/>
          <w:lang w:val="es-VE"/>
        </w:rPr>
      </w:pPr>
      <w:r w:rsidRPr="008A3C7F">
        <w:rPr>
          <w:sz w:val="24"/>
          <w:szCs w:val="24"/>
        </w:rPr>
        <w:t xml:space="preserve">Jin Y, Yang H, Ji W, Wu W, Chen S, Zhang W, Duan G. Virology, Epidemiology, Pathogenesis, and Control of COVID-19. </w:t>
      </w:r>
      <w:proofErr w:type="spellStart"/>
      <w:r>
        <w:rPr>
          <w:sz w:val="24"/>
          <w:szCs w:val="24"/>
          <w:lang w:val="es-VE"/>
        </w:rPr>
        <w:t>Viruses</w:t>
      </w:r>
      <w:proofErr w:type="spellEnd"/>
      <w:r>
        <w:rPr>
          <w:sz w:val="24"/>
          <w:szCs w:val="24"/>
          <w:lang w:val="es-VE"/>
        </w:rPr>
        <w:t xml:space="preserve">. 2020 Marzo; 12(4):372. </w:t>
      </w:r>
      <w:proofErr w:type="spellStart"/>
      <w:r>
        <w:rPr>
          <w:sz w:val="24"/>
          <w:szCs w:val="24"/>
          <w:lang w:val="es-VE"/>
        </w:rPr>
        <w:t>doi</w:t>
      </w:r>
      <w:proofErr w:type="spellEnd"/>
      <w:r>
        <w:rPr>
          <w:sz w:val="24"/>
          <w:szCs w:val="24"/>
          <w:lang w:val="es-VE"/>
        </w:rPr>
        <w:t>: 10.3390/v12040372.</w:t>
      </w:r>
    </w:p>
    <w:p w:rsidR="00231E62" w:rsidRDefault="008A3C7F">
      <w:pPr>
        <w:numPr>
          <w:ilvl w:val="0"/>
          <w:numId w:val="38"/>
        </w:numPr>
        <w:rPr>
          <w:sz w:val="24"/>
          <w:szCs w:val="24"/>
          <w:lang w:val="es-VE"/>
        </w:rPr>
      </w:pPr>
      <w:r w:rsidRPr="008A3C7F">
        <w:rPr>
          <w:sz w:val="24"/>
          <w:szCs w:val="24"/>
        </w:rPr>
        <w:t xml:space="preserve">Chen, N., Zhou, M., Dong, X., Qu, J., Gong, F., Han, Y., et al. Epidemiological and clinical characteristics of 99 cases of 2019 novel coronavirus pneumonia in Wuhan, China: A descriptive study. </w:t>
      </w:r>
      <w:proofErr w:type="spellStart"/>
      <w:r>
        <w:rPr>
          <w:sz w:val="24"/>
          <w:szCs w:val="24"/>
          <w:lang w:val="es-VE"/>
        </w:rPr>
        <w:t>Lancet</w:t>
      </w:r>
      <w:proofErr w:type="spellEnd"/>
      <w:r>
        <w:rPr>
          <w:sz w:val="24"/>
          <w:szCs w:val="24"/>
          <w:lang w:val="es-VE"/>
        </w:rPr>
        <w:t>, 395(10223), 507–513. Disponible en: https://doi.org/10.1016/S0140-6736(20)30211-7.</w:t>
      </w:r>
    </w:p>
    <w:p w:rsidR="00231E62" w:rsidRDefault="008A3C7F">
      <w:pPr>
        <w:numPr>
          <w:ilvl w:val="0"/>
          <w:numId w:val="38"/>
        </w:numPr>
        <w:rPr>
          <w:sz w:val="24"/>
          <w:szCs w:val="24"/>
          <w:lang w:val="es-VE"/>
        </w:rPr>
      </w:pPr>
      <w:r>
        <w:rPr>
          <w:sz w:val="24"/>
          <w:szCs w:val="24"/>
          <w:lang w:val="es-VE"/>
        </w:rPr>
        <w:t xml:space="preserve">Fernández Leticia A; Rodríguez M.A, </w:t>
      </w:r>
      <w:proofErr w:type="spellStart"/>
      <w:r>
        <w:rPr>
          <w:sz w:val="24"/>
          <w:szCs w:val="24"/>
          <w:lang w:val="es-VE"/>
        </w:rPr>
        <w:t>Iaconis</w:t>
      </w:r>
      <w:proofErr w:type="spellEnd"/>
      <w:r>
        <w:rPr>
          <w:sz w:val="24"/>
          <w:szCs w:val="24"/>
          <w:lang w:val="es-VE"/>
        </w:rPr>
        <w:t xml:space="preserve"> D, </w:t>
      </w:r>
      <w:proofErr w:type="spellStart"/>
      <w:r>
        <w:rPr>
          <w:sz w:val="24"/>
          <w:szCs w:val="24"/>
          <w:lang w:val="es-VE"/>
        </w:rPr>
        <w:t>Cibanal</w:t>
      </w:r>
      <w:proofErr w:type="spellEnd"/>
      <w:r>
        <w:rPr>
          <w:sz w:val="24"/>
          <w:szCs w:val="24"/>
          <w:lang w:val="es-VE"/>
        </w:rPr>
        <w:t xml:space="preserve"> I. L, </w:t>
      </w:r>
      <w:proofErr w:type="spellStart"/>
      <w:r>
        <w:rPr>
          <w:sz w:val="24"/>
          <w:szCs w:val="24"/>
          <w:lang w:val="es-VE"/>
        </w:rPr>
        <w:t>Gallez</w:t>
      </w:r>
      <w:proofErr w:type="spellEnd"/>
      <w:r>
        <w:rPr>
          <w:sz w:val="24"/>
          <w:szCs w:val="24"/>
          <w:lang w:val="es-VE"/>
        </w:rPr>
        <w:t xml:space="preserve"> Liliana M. Los productos apícolas: un complemento en la dieta para frenar mejor el COVID-19. </w:t>
      </w:r>
      <w:proofErr w:type="spellStart"/>
      <w:r>
        <w:rPr>
          <w:sz w:val="24"/>
          <w:szCs w:val="24"/>
          <w:lang w:val="es-VE"/>
        </w:rPr>
        <w:t>LabEA</w:t>
      </w:r>
      <w:proofErr w:type="spellEnd"/>
      <w:r>
        <w:rPr>
          <w:sz w:val="24"/>
          <w:szCs w:val="24"/>
          <w:lang w:val="es-VE"/>
        </w:rPr>
        <w:t>. Junio 2020; 1-14. Disponible en: http://www.labea.criba.edu.ar</w:t>
      </w:r>
    </w:p>
    <w:p w:rsidR="00231E62" w:rsidRDefault="008A3C7F">
      <w:pPr>
        <w:numPr>
          <w:ilvl w:val="0"/>
          <w:numId w:val="38"/>
        </w:numPr>
        <w:rPr>
          <w:sz w:val="24"/>
          <w:szCs w:val="24"/>
          <w:lang w:val="es-VE"/>
        </w:rPr>
      </w:pPr>
      <w:r w:rsidRPr="008A3C7F">
        <w:rPr>
          <w:sz w:val="24"/>
          <w:szCs w:val="24"/>
        </w:rPr>
        <w:t xml:space="preserve">Singh P, Tripathi MK, Yasir M, Khare R, Tripathi MK, Shrivastava R. Potential Inhibitors for SARS-CoV-2 and Functional Food Components as Nutritional Supplement for COVID-19: A Review. </w:t>
      </w:r>
      <w:proofErr w:type="spellStart"/>
      <w:r>
        <w:rPr>
          <w:sz w:val="24"/>
          <w:szCs w:val="24"/>
          <w:lang w:val="es-VE"/>
        </w:rPr>
        <w:t>Plant</w:t>
      </w:r>
      <w:proofErr w:type="spellEnd"/>
      <w:r>
        <w:rPr>
          <w:sz w:val="24"/>
          <w:szCs w:val="24"/>
          <w:lang w:val="es-VE"/>
        </w:rPr>
        <w:t xml:space="preserve"> </w:t>
      </w:r>
      <w:proofErr w:type="spellStart"/>
      <w:r>
        <w:rPr>
          <w:sz w:val="24"/>
          <w:szCs w:val="24"/>
          <w:lang w:val="es-VE"/>
        </w:rPr>
        <w:t>Foods</w:t>
      </w:r>
      <w:proofErr w:type="spellEnd"/>
      <w:r>
        <w:rPr>
          <w:sz w:val="24"/>
          <w:szCs w:val="24"/>
          <w:lang w:val="es-VE"/>
        </w:rPr>
        <w:t xml:space="preserve"> </w:t>
      </w:r>
      <w:proofErr w:type="spellStart"/>
      <w:r>
        <w:rPr>
          <w:sz w:val="24"/>
          <w:szCs w:val="24"/>
          <w:lang w:val="es-VE"/>
        </w:rPr>
        <w:t>Hum</w:t>
      </w:r>
      <w:proofErr w:type="spellEnd"/>
      <w:r>
        <w:rPr>
          <w:sz w:val="24"/>
          <w:szCs w:val="24"/>
          <w:lang w:val="es-VE"/>
        </w:rPr>
        <w:t xml:space="preserve"> </w:t>
      </w:r>
      <w:proofErr w:type="spellStart"/>
      <w:r>
        <w:rPr>
          <w:sz w:val="24"/>
          <w:szCs w:val="24"/>
          <w:lang w:val="es-VE"/>
        </w:rPr>
        <w:t>Nutr</w:t>
      </w:r>
      <w:proofErr w:type="spellEnd"/>
      <w:r>
        <w:rPr>
          <w:sz w:val="24"/>
          <w:szCs w:val="24"/>
          <w:lang w:val="es-VE"/>
        </w:rPr>
        <w:t xml:space="preserve">. 2020 Diciembre; 75(4): 458-466. </w:t>
      </w:r>
      <w:proofErr w:type="spellStart"/>
      <w:r>
        <w:rPr>
          <w:sz w:val="24"/>
          <w:szCs w:val="24"/>
          <w:lang w:val="es-VE"/>
        </w:rPr>
        <w:t>doi</w:t>
      </w:r>
      <w:proofErr w:type="spellEnd"/>
      <w:r>
        <w:rPr>
          <w:sz w:val="24"/>
          <w:szCs w:val="24"/>
          <w:lang w:val="es-VE"/>
        </w:rPr>
        <w:t>: 10.1007/s11130-020-00861-9.</w:t>
      </w:r>
    </w:p>
    <w:p w:rsidR="00231E62" w:rsidRPr="008A3C7F" w:rsidRDefault="008A3C7F">
      <w:pPr>
        <w:numPr>
          <w:ilvl w:val="0"/>
          <w:numId w:val="38"/>
        </w:numPr>
        <w:rPr>
          <w:sz w:val="24"/>
          <w:szCs w:val="24"/>
        </w:rPr>
      </w:pPr>
      <w:r>
        <w:rPr>
          <w:sz w:val="24"/>
          <w:szCs w:val="24"/>
          <w:lang w:val="es-VE"/>
        </w:rPr>
        <w:t>Fernández-</w:t>
      </w:r>
      <w:proofErr w:type="spellStart"/>
      <w:r>
        <w:rPr>
          <w:sz w:val="24"/>
          <w:szCs w:val="24"/>
          <w:lang w:val="es-VE"/>
        </w:rPr>
        <w:t>Quintela</w:t>
      </w:r>
      <w:proofErr w:type="spellEnd"/>
      <w:r>
        <w:rPr>
          <w:sz w:val="24"/>
          <w:szCs w:val="24"/>
          <w:lang w:val="es-VE"/>
        </w:rPr>
        <w:t xml:space="preserve"> A, Milton-</w:t>
      </w:r>
      <w:proofErr w:type="spellStart"/>
      <w:r>
        <w:rPr>
          <w:sz w:val="24"/>
          <w:szCs w:val="24"/>
          <w:lang w:val="es-VE"/>
        </w:rPr>
        <w:t>Laskibar</w:t>
      </w:r>
      <w:proofErr w:type="spellEnd"/>
      <w:r>
        <w:rPr>
          <w:sz w:val="24"/>
          <w:szCs w:val="24"/>
          <w:lang w:val="es-VE"/>
        </w:rPr>
        <w:t xml:space="preserve"> I, </w:t>
      </w:r>
      <w:proofErr w:type="spellStart"/>
      <w:r>
        <w:rPr>
          <w:sz w:val="24"/>
          <w:szCs w:val="24"/>
          <w:lang w:val="es-VE"/>
        </w:rPr>
        <w:t>Trepiana</w:t>
      </w:r>
      <w:proofErr w:type="spellEnd"/>
      <w:r>
        <w:rPr>
          <w:sz w:val="24"/>
          <w:szCs w:val="24"/>
          <w:lang w:val="es-VE"/>
        </w:rPr>
        <w:t xml:space="preserve"> J, Gómez-Zorita S, </w:t>
      </w:r>
      <w:proofErr w:type="spellStart"/>
      <w:r>
        <w:rPr>
          <w:sz w:val="24"/>
          <w:szCs w:val="24"/>
          <w:lang w:val="es-VE"/>
        </w:rPr>
        <w:t>Kajarabille</w:t>
      </w:r>
      <w:proofErr w:type="spellEnd"/>
      <w:r>
        <w:rPr>
          <w:sz w:val="24"/>
          <w:szCs w:val="24"/>
          <w:lang w:val="es-VE"/>
        </w:rPr>
        <w:t xml:space="preserve"> N, </w:t>
      </w:r>
      <w:proofErr w:type="spellStart"/>
      <w:r>
        <w:rPr>
          <w:sz w:val="24"/>
          <w:szCs w:val="24"/>
          <w:lang w:val="es-VE"/>
        </w:rPr>
        <w:t>Léniz</w:t>
      </w:r>
      <w:proofErr w:type="spellEnd"/>
      <w:r>
        <w:rPr>
          <w:sz w:val="24"/>
          <w:szCs w:val="24"/>
          <w:lang w:val="es-VE"/>
        </w:rPr>
        <w:t xml:space="preserve"> A, González M, Portillo MP. </w:t>
      </w:r>
      <w:r w:rsidRPr="008A3C7F">
        <w:rPr>
          <w:sz w:val="24"/>
          <w:szCs w:val="24"/>
        </w:rPr>
        <w:t>Key Aspects in Nutritional Management of COVID-19 Patients. J Clin Med. 2020 Agosto 10; 9(8):2589. doi: 10.3390/jcm9082589.</w:t>
      </w:r>
    </w:p>
    <w:p w:rsidR="00231E62" w:rsidRDefault="008A3C7F">
      <w:pPr>
        <w:numPr>
          <w:ilvl w:val="0"/>
          <w:numId w:val="38"/>
        </w:numPr>
        <w:rPr>
          <w:sz w:val="24"/>
          <w:szCs w:val="24"/>
          <w:lang w:val="es-VE"/>
        </w:rPr>
      </w:pPr>
      <w:r w:rsidRPr="008A3C7F">
        <w:rPr>
          <w:sz w:val="24"/>
          <w:szCs w:val="24"/>
        </w:rPr>
        <w:t xml:space="preserve">Galanakis CM, Aldawoud TMS, Rizou M, Rowan NJ, Ibrahim SA. Food Ingredients and Active Compounds against the Coronavirus Disease (COVID-19) Pandemic: A Comprehensive Review. </w:t>
      </w:r>
      <w:proofErr w:type="spellStart"/>
      <w:r>
        <w:rPr>
          <w:sz w:val="24"/>
          <w:szCs w:val="24"/>
          <w:lang w:val="es-VE"/>
        </w:rPr>
        <w:t>Foods</w:t>
      </w:r>
      <w:proofErr w:type="spellEnd"/>
      <w:r>
        <w:rPr>
          <w:sz w:val="24"/>
          <w:szCs w:val="24"/>
          <w:lang w:val="es-VE"/>
        </w:rPr>
        <w:t xml:space="preserve">. 2020 Nov 20; 9(11):1701. </w:t>
      </w:r>
      <w:proofErr w:type="spellStart"/>
      <w:r>
        <w:rPr>
          <w:sz w:val="24"/>
          <w:szCs w:val="24"/>
          <w:lang w:val="es-VE"/>
        </w:rPr>
        <w:t>doi</w:t>
      </w:r>
      <w:proofErr w:type="spellEnd"/>
      <w:r>
        <w:rPr>
          <w:sz w:val="24"/>
          <w:szCs w:val="24"/>
          <w:lang w:val="es-VE"/>
        </w:rPr>
        <w:t>: 10.3390/foods9111701.</w:t>
      </w:r>
    </w:p>
    <w:p w:rsidR="00231E62" w:rsidRDefault="008A3C7F">
      <w:pPr>
        <w:numPr>
          <w:ilvl w:val="0"/>
          <w:numId w:val="38"/>
        </w:numPr>
        <w:rPr>
          <w:sz w:val="24"/>
          <w:szCs w:val="24"/>
          <w:lang w:val="es-VE"/>
        </w:rPr>
      </w:pPr>
      <w:r w:rsidRPr="008A3C7F">
        <w:rPr>
          <w:sz w:val="24"/>
          <w:szCs w:val="24"/>
        </w:rPr>
        <w:t xml:space="preserve">Singh P, Tripathi MK, Yasir M, Khare R, Tripathi MK, Shrivastava R. Potential Inhibitors for SARS-CoV-2 and Functional Food Components as Nutritional Supplement for COVID-19: A Review. </w:t>
      </w:r>
      <w:proofErr w:type="spellStart"/>
      <w:r>
        <w:rPr>
          <w:sz w:val="24"/>
          <w:szCs w:val="24"/>
          <w:lang w:val="es-VE"/>
        </w:rPr>
        <w:t>Plant</w:t>
      </w:r>
      <w:proofErr w:type="spellEnd"/>
      <w:r>
        <w:rPr>
          <w:sz w:val="24"/>
          <w:szCs w:val="24"/>
          <w:lang w:val="es-VE"/>
        </w:rPr>
        <w:t xml:space="preserve"> </w:t>
      </w:r>
      <w:proofErr w:type="spellStart"/>
      <w:r>
        <w:rPr>
          <w:sz w:val="24"/>
          <w:szCs w:val="24"/>
          <w:lang w:val="es-VE"/>
        </w:rPr>
        <w:t>Foods</w:t>
      </w:r>
      <w:proofErr w:type="spellEnd"/>
      <w:r>
        <w:rPr>
          <w:sz w:val="24"/>
          <w:szCs w:val="24"/>
          <w:lang w:val="es-VE"/>
        </w:rPr>
        <w:t xml:space="preserve"> </w:t>
      </w:r>
      <w:proofErr w:type="spellStart"/>
      <w:r>
        <w:rPr>
          <w:sz w:val="24"/>
          <w:szCs w:val="24"/>
          <w:lang w:val="es-VE"/>
        </w:rPr>
        <w:t>Hum</w:t>
      </w:r>
      <w:proofErr w:type="spellEnd"/>
      <w:r>
        <w:rPr>
          <w:sz w:val="24"/>
          <w:szCs w:val="24"/>
          <w:lang w:val="es-VE"/>
        </w:rPr>
        <w:t xml:space="preserve"> </w:t>
      </w:r>
      <w:proofErr w:type="spellStart"/>
      <w:r>
        <w:rPr>
          <w:sz w:val="24"/>
          <w:szCs w:val="24"/>
          <w:lang w:val="es-VE"/>
        </w:rPr>
        <w:t>Nutr</w:t>
      </w:r>
      <w:proofErr w:type="spellEnd"/>
      <w:r>
        <w:rPr>
          <w:sz w:val="24"/>
          <w:szCs w:val="24"/>
          <w:lang w:val="es-VE"/>
        </w:rPr>
        <w:t xml:space="preserve">. 2020 Diciembre; 75(4): 458-466. </w:t>
      </w:r>
      <w:proofErr w:type="spellStart"/>
      <w:r>
        <w:rPr>
          <w:sz w:val="24"/>
          <w:szCs w:val="24"/>
          <w:lang w:val="es-VE"/>
        </w:rPr>
        <w:t>doi</w:t>
      </w:r>
      <w:proofErr w:type="spellEnd"/>
      <w:r>
        <w:rPr>
          <w:sz w:val="24"/>
          <w:szCs w:val="24"/>
          <w:lang w:val="es-VE"/>
        </w:rPr>
        <w:t>: 10.1007/ s11130-020-00861-9.</w:t>
      </w:r>
    </w:p>
    <w:p w:rsidR="00231E62" w:rsidRDefault="008A3C7F">
      <w:pPr>
        <w:numPr>
          <w:ilvl w:val="0"/>
          <w:numId w:val="38"/>
        </w:numPr>
        <w:rPr>
          <w:sz w:val="24"/>
          <w:szCs w:val="24"/>
          <w:lang w:val="es-VE"/>
        </w:rPr>
      </w:pPr>
      <w:r w:rsidRPr="008A3C7F">
        <w:rPr>
          <w:sz w:val="24"/>
          <w:szCs w:val="24"/>
        </w:rPr>
        <w:lastRenderedPageBreak/>
        <w:t xml:space="preserve">Ayseli YI, Aytekin N, Buyukkayhan D, Aslan I, Ayseli MT. Food policy, nutrition and nutraceuticals in the prevention and management of COVID-19: Advice for healthcare professionals. </w:t>
      </w:r>
      <w:proofErr w:type="spellStart"/>
      <w:r>
        <w:rPr>
          <w:sz w:val="24"/>
          <w:szCs w:val="24"/>
          <w:lang w:val="es-VE"/>
        </w:rPr>
        <w:t>Trends</w:t>
      </w:r>
      <w:proofErr w:type="spellEnd"/>
      <w:r>
        <w:rPr>
          <w:sz w:val="24"/>
          <w:szCs w:val="24"/>
          <w:lang w:val="es-VE"/>
        </w:rPr>
        <w:t xml:space="preserve"> </w:t>
      </w:r>
      <w:proofErr w:type="spellStart"/>
      <w:r>
        <w:rPr>
          <w:sz w:val="24"/>
          <w:szCs w:val="24"/>
          <w:lang w:val="es-VE"/>
        </w:rPr>
        <w:t>Food</w:t>
      </w:r>
      <w:proofErr w:type="spellEnd"/>
      <w:r>
        <w:rPr>
          <w:sz w:val="24"/>
          <w:szCs w:val="24"/>
          <w:lang w:val="es-VE"/>
        </w:rPr>
        <w:t xml:space="preserve"> </w:t>
      </w:r>
      <w:proofErr w:type="spellStart"/>
      <w:r>
        <w:rPr>
          <w:sz w:val="24"/>
          <w:szCs w:val="24"/>
          <w:lang w:val="es-VE"/>
        </w:rPr>
        <w:t>Sci</w:t>
      </w:r>
      <w:proofErr w:type="spellEnd"/>
      <w:r>
        <w:rPr>
          <w:sz w:val="24"/>
          <w:szCs w:val="24"/>
          <w:lang w:val="es-VE"/>
        </w:rPr>
        <w:t xml:space="preserve"> </w:t>
      </w:r>
      <w:proofErr w:type="spellStart"/>
      <w:r>
        <w:rPr>
          <w:sz w:val="24"/>
          <w:szCs w:val="24"/>
          <w:lang w:val="es-VE"/>
        </w:rPr>
        <w:t>Technol</w:t>
      </w:r>
      <w:proofErr w:type="spellEnd"/>
      <w:r>
        <w:rPr>
          <w:sz w:val="24"/>
          <w:szCs w:val="24"/>
          <w:lang w:val="es-VE"/>
        </w:rPr>
        <w:t xml:space="preserve">. 2020 Noviembre; 105:186-199. </w:t>
      </w:r>
      <w:proofErr w:type="spellStart"/>
      <w:r>
        <w:rPr>
          <w:sz w:val="24"/>
          <w:szCs w:val="24"/>
          <w:lang w:val="es-VE"/>
        </w:rPr>
        <w:t>doi</w:t>
      </w:r>
      <w:proofErr w:type="spellEnd"/>
      <w:r>
        <w:rPr>
          <w:sz w:val="24"/>
          <w:szCs w:val="24"/>
          <w:lang w:val="es-VE"/>
        </w:rPr>
        <w:t>: 10.1016/j.tifs.2020.09.001.</w:t>
      </w:r>
    </w:p>
    <w:p w:rsidR="00231E62" w:rsidRDefault="008A3C7F">
      <w:pPr>
        <w:numPr>
          <w:ilvl w:val="0"/>
          <w:numId w:val="38"/>
        </w:numPr>
        <w:rPr>
          <w:sz w:val="24"/>
          <w:szCs w:val="24"/>
          <w:lang w:val="es-VE"/>
        </w:rPr>
      </w:pPr>
      <w:r>
        <w:rPr>
          <w:sz w:val="24"/>
          <w:szCs w:val="24"/>
          <w:lang w:val="es-VE"/>
        </w:rPr>
        <w:t xml:space="preserve">López-Gómez J.J, Luis-Román A. Verdades y mitos sobre el tratamiento nutricional en el COVID-19. (La nutrición y la evidencia científica en el COVID-19). </w:t>
      </w:r>
      <w:proofErr w:type="spellStart"/>
      <w:r>
        <w:rPr>
          <w:sz w:val="24"/>
          <w:szCs w:val="24"/>
          <w:lang w:val="es-VE"/>
        </w:rPr>
        <w:t>Nutr</w:t>
      </w:r>
      <w:proofErr w:type="spellEnd"/>
      <w:r>
        <w:rPr>
          <w:sz w:val="24"/>
          <w:szCs w:val="24"/>
          <w:lang w:val="es-VE"/>
        </w:rPr>
        <w:t xml:space="preserve"> </w:t>
      </w:r>
      <w:proofErr w:type="spellStart"/>
      <w:r>
        <w:rPr>
          <w:sz w:val="24"/>
          <w:szCs w:val="24"/>
          <w:lang w:val="es-VE"/>
        </w:rPr>
        <w:t>Clin</w:t>
      </w:r>
      <w:proofErr w:type="spellEnd"/>
      <w:r>
        <w:rPr>
          <w:sz w:val="24"/>
          <w:szCs w:val="24"/>
          <w:lang w:val="es-VE"/>
        </w:rPr>
        <w:t xml:space="preserve"> </w:t>
      </w:r>
      <w:proofErr w:type="spellStart"/>
      <w:r>
        <w:rPr>
          <w:sz w:val="24"/>
          <w:szCs w:val="24"/>
          <w:lang w:val="es-VE"/>
        </w:rPr>
        <w:t>Med</w:t>
      </w:r>
      <w:proofErr w:type="spellEnd"/>
      <w:r>
        <w:rPr>
          <w:sz w:val="24"/>
          <w:szCs w:val="24"/>
          <w:lang w:val="es-VE"/>
        </w:rPr>
        <w:t>. 2020; 14 (2). DOI: 10.7400/NCM.2020.14.2.5089 (13)</w:t>
      </w:r>
    </w:p>
    <w:p w:rsidR="00231E62" w:rsidRDefault="008A3C7F">
      <w:pPr>
        <w:numPr>
          <w:ilvl w:val="0"/>
          <w:numId w:val="38"/>
        </w:numPr>
        <w:rPr>
          <w:sz w:val="24"/>
          <w:szCs w:val="24"/>
          <w:lang w:val="es-VE"/>
        </w:rPr>
      </w:pPr>
      <w:proofErr w:type="spellStart"/>
      <w:r>
        <w:rPr>
          <w:sz w:val="24"/>
          <w:szCs w:val="24"/>
          <w:lang w:val="es-VE"/>
        </w:rPr>
        <w:t>Macaya</w:t>
      </w:r>
      <w:proofErr w:type="spellEnd"/>
      <w:r>
        <w:rPr>
          <w:sz w:val="24"/>
          <w:szCs w:val="24"/>
          <w:lang w:val="es-VE"/>
        </w:rPr>
        <w:t xml:space="preserve"> F, Espejo </w:t>
      </w:r>
      <w:proofErr w:type="spellStart"/>
      <w:r>
        <w:rPr>
          <w:sz w:val="24"/>
          <w:szCs w:val="24"/>
          <w:lang w:val="es-VE"/>
        </w:rPr>
        <w:t>Paeres</w:t>
      </w:r>
      <w:proofErr w:type="spellEnd"/>
      <w:r>
        <w:rPr>
          <w:sz w:val="24"/>
          <w:szCs w:val="24"/>
          <w:lang w:val="es-VE"/>
        </w:rPr>
        <w:t xml:space="preserve"> C, Valls A, Fernández-Ortiz A, González Del Castillo J, Martín-Sánchez FJ, </w:t>
      </w:r>
      <w:proofErr w:type="spellStart"/>
      <w:r>
        <w:rPr>
          <w:sz w:val="24"/>
          <w:szCs w:val="24"/>
          <w:lang w:val="es-VE"/>
        </w:rPr>
        <w:t>Runkle</w:t>
      </w:r>
      <w:proofErr w:type="spellEnd"/>
      <w:r>
        <w:rPr>
          <w:sz w:val="24"/>
          <w:szCs w:val="24"/>
          <w:lang w:val="es-VE"/>
        </w:rPr>
        <w:t xml:space="preserve"> I, Rubio Herrera MÁ. </w:t>
      </w:r>
      <w:r w:rsidRPr="008A3C7F">
        <w:rPr>
          <w:sz w:val="24"/>
          <w:szCs w:val="24"/>
        </w:rPr>
        <w:t xml:space="preserve">Interaction between age and vitamin D deficiency in severe COVID-19 infection. </w:t>
      </w:r>
      <w:proofErr w:type="spellStart"/>
      <w:r>
        <w:rPr>
          <w:sz w:val="24"/>
          <w:szCs w:val="24"/>
          <w:lang w:val="es-VE"/>
        </w:rPr>
        <w:t>Nutr</w:t>
      </w:r>
      <w:proofErr w:type="spellEnd"/>
      <w:r>
        <w:rPr>
          <w:sz w:val="24"/>
          <w:szCs w:val="24"/>
          <w:lang w:val="es-VE"/>
        </w:rPr>
        <w:t xml:space="preserve"> </w:t>
      </w:r>
      <w:proofErr w:type="spellStart"/>
      <w:r>
        <w:rPr>
          <w:sz w:val="24"/>
          <w:szCs w:val="24"/>
          <w:lang w:val="es-VE"/>
        </w:rPr>
        <w:t>Hosp</w:t>
      </w:r>
      <w:proofErr w:type="spellEnd"/>
      <w:r>
        <w:rPr>
          <w:sz w:val="24"/>
          <w:szCs w:val="24"/>
          <w:lang w:val="es-VE"/>
        </w:rPr>
        <w:t>. 2020 Oct 21; 37(5):1039-1042. doi:10.20960/nh.03193.</w:t>
      </w:r>
    </w:p>
    <w:p w:rsidR="00231E62" w:rsidRDefault="008A3C7F">
      <w:pPr>
        <w:numPr>
          <w:ilvl w:val="0"/>
          <w:numId w:val="38"/>
        </w:numPr>
        <w:rPr>
          <w:sz w:val="24"/>
          <w:szCs w:val="24"/>
          <w:lang w:val="es-VE"/>
        </w:rPr>
      </w:pPr>
      <w:r w:rsidRPr="008A3C7F">
        <w:rPr>
          <w:sz w:val="24"/>
          <w:szCs w:val="24"/>
        </w:rPr>
        <w:t xml:space="preserve">USA, Food and Nutrition Board. Dietary Reference Intakes for Vitamin A, Vitamin K, Arsenic, Boron, Chromium, Copper, Iodine, Iron, Manganese, Molybdenum, Nickel, Silicon, Vanadium, and Zinc. </w:t>
      </w:r>
      <w:proofErr w:type="spellStart"/>
      <w:r>
        <w:rPr>
          <w:sz w:val="24"/>
          <w:szCs w:val="24"/>
          <w:lang w:val="es-VE"/>
        </w:rPr>
        <w:t>Institute</w:t>
      </w:r>
      <w:proofErr w:type="spellEnd"/>
      <w:r>
        <w:rPr>
          <w:sz w:val="24"/>
          <w:szCs w:val="24"/>
          <w:lang w:val="es-VE"/>
        </w:rPr>
        <w:t xml:space="preserve"> of Medicine. </w:t>
      </w:r>
      <w:proofErr w:type="spellStart"/>
      <w:r>
        <w:rPr>
          <w:sz w:val="24"/>
          <w:szCs w:val="24"/>
          <w:lang w:val="es-VE"/>
        </w:rPr>
        <w:t>National</w:t>
      </w:r>
      <w:proofErr w:type="spellEnd"/>
      <w:r>
        <w:rPr>
          <w:sz w:val="24"/>
          <w:szCs w:val="24"/>
          <w:lang w:val="es-VE"/>
        </w:rPr>
        <w:t xml:space="preserve"> </w:t>
      </w:r>
      <w:proofErr w:type="spellStart"/>
      <w:r>
        <w:rPr>
          <w:sz w:val="24"/>
          <w:szCs w:val="24"/>
          <w:lang w:val="es-VE"/>
        </w:rPr>
        <w:t>Academy</w:t>
      </w:r>
      <w:proofErr w:type="spellEnd"/>
      <w:r>
        <w:rPr>
          <w:sz w:val="24"/>
          <w:szCs w:val="24"/>
          <w:lang w:val="es-VE"/>
        </w:rPr>
        <w:t xml:space="preserve"> </w:t>
      </w:r>
      <w:proofErr w:type="spellStart"/>
      <w:r>
        <w:rPr>
          <w:sz w:val="24"/>
          <w:szCs w:val="24"/>
          <w:lang w:val="es-VE"/>
        </w:rPr>
        <w:t>Press</w:t>
      </w:r>
      <w:proofErr w:type="spellEnd"/>
      <w:r>
        <w:rPr>
          <w:sz w:val="24"/>
          <w:szCs w:val="24"/>
          <w:lang w:val="es-VE"/>
        </w:rPr>
        <w:t>. Washington, D.C., 2001.</w:t>
      </w:r>
    </w:p>
    <w:p w:rsidR="00231E62" w:rsidRPr="008A3C7F" w:rsidRDefault="008A3C7F">
      <w:pPr>
        <w:numPr>
          <w:ilvl w:val="0"/>
          <w:numId w:val="38"/>
        </w:numPr>
        <w:rPr>
          <w:sz w:val="24"/>
          <w:szCs w:val="24"/>
        </w:rPr>
      </w:pPr>
      <w:proofErr w:type="spellStart"/>
      <w:r>
        <w:rPr>
          <w:sz w:val="24"/>
          <w:szCs w:val="24"/>
          <w:lang w:val="es-VE"/>
        </w:rPr>
        <w:t>Faria</w:t>
      </w:r>
      <w:proofErr w:type="spellEnd"/>
      <w:r>
        <w:rPr>
          <w:sz w:val="24"/>
          <w:szCs w:val="24"/>
          <w:lang w:val="es-VE"/>
        </w:rPr>
        <w:t xml:space="preserve"> Coelho-</w:t>
      </w:r>
      <w:proofErr w:type="spellStart"/>
      <w:r>
        <w:rPr>
          <w:sz w:val="24"/>
          <w:szCs w:val="24"/>
          <w:lang w:val="es-VE"/>
        </w:rPr>
        <w:t>Ravagnani</w:t>
      </w:r>
      <w:proofErr w:type="spellEnd"/>
      <w:r>
        <w:rPr>
          <w:sz w:val="24"/>
          <w:szCs w:val="24"/>
          <w:lang w:val="es-VE"/>
        </w:rPr>
        <w:t xml:space="preserve"> C, </w:t>
      </w:r>
      <w:proofErr w:type="spellStart"/>
      <w:r>
        <w:rPr>
          <w:sz w:val="24"/>
          <w:szCs w:val="24"/>
          <w:lang w:val="es-VE"/>
        </w:rPr>
        <w:t>Corgosinho</w:t>
      </w:r>
      <w:proofErr w:type="spellEnd"/>
      <w:r>
        <w:rPr>
          <w:sz w:val="24"/>
          <w:szCs w:val="24"/>
          <w:lang w:val="es-VE"/>
        </w:rPr>
        <w:t xml:space="preserve"> FC, </w:t>
      </w:r>
      <w:proofErr w:type="spellStart"/>
      <w:r>
        <w:rPr>
          <w:sz w:val="24"/>
          <w:szCs w:val="24"/>
          <w:lang w:val="es-VE"/>
        </w:rPr>
        <w:t>Sanches</w:t>
      </w:r>
      <w:proofErr w:type="spellEnd"/>
      <w:r>
        <w:rPr>
          <w:sz w:val="24"/>
          <w:szCs w:val="24"/>
          <w:lang w:val="es-VE"/>
        </w:rPr>
        <w:t xml:space="preserve"> FFZ, Prado CMM, </w:t>
      </w:r>
      <w:proofErr w:type="spellStart"/>
      <w:r>
        <w:rPr>
          <w:sz w:val="24"/>
          <w:szCs w:val="24"/>
          <w:lang w:val="es-VE"/>
        </w:rPr>
        <w:t>Laviano</w:t>
      </w:r>
      <w:proofErr w:type="spellEnd"/>
      <w:r>
        <w:rPr>
          <w:sz w:val="24"/>
          <w:szCs w:val="24"/>
          <w:lang w:val="es-VE"/>
        </w:rPr>
        <w:t xml:space="preserve"> A, Mota JF. </w:t>
      </w:r>
      <w:r w:rsidRPr="008A3C7F">
        <w:rPr>
          <w:sz w:val="24"/>
          <w:szCs w:val="24"/>
        </w:rPr>
        <w:t>Dietary recommendations during the COVID-19 pandemic. Nutr Rev. 2021Marzo 9; 79(4):382-393. doi: 10.1093/nutrit/nuaa067.</w:t>
      </w:r>
    </w:p>
    <w:p w:rsidR="00231E62" w:rsidRDefault="008A3C7F">
      <w:pPr>
        <w:numPr>
          <w:ilvl w:val="0"/>
          <w:numId w:val="38"/>
        </w:numPr>
        <w:rPr>
          <w:sz w:val="24"/>
          <w:szCs w:val="24"/>
          <w:lang w:val="es-VE"/>
        </w:rPr>
      </w:pPr>
      <w:r>
        <w:rPr>
          <w:sz w:val="24"/>
          <w:szCs w:val="24"/>
          <w:lang w:val="es-VE"/>
        </w:rPr>
        <w:t xml:space="preserve">Álvarez J, </w:t>
      </w:r>
      <w:proofErr w:type="spellStart"/>
      <w:r>
        <w:rPr>
          <w:sz w:val="24"/>
          <w:szCs w:val="24"/>
          <w:lang w:val="es-VE"/>
        </w:rPr>
        <w:t>Lallena</w:t>
      </w:r>
      <w:proofErr w:type="spellEnd"/>
      <w:r>
        <w:rPr>
          <w:sz w:val="24"/>
          <w:szCs w:val="24"/>
          <w:lang w:val="es-VE"/>
        </w:rPr>
        <w:t xml:space="preserve"> S y Bernal M. Nutrición y pandemia de la COVID-19.Elsevier. 2020; 13(23): 1311-1321. </w:t>
      </w:r>
      <w:proofErr w:type="spellStart"/>
      <w:r>
        <w:rPr>
          <w:sz w:val="24"/>
          <w:szCs w:val="24"/>
          <w:lang w:val="es-VE"/>
        </w:rPr>
        <w:t>doi</w:t>
      </w:r>
      <w:proofErr w:type="spellEnd"/>
      <w:r>
        <w:rPr>
          <w:sz w:val="24"/>
          <w:szCs w:val="24"/>
          <w:lang w:val="es-VE"/>
        </w:rPr>
        <w:t>: 10.1016/j.med.2020.12.013</w:t>
      </w:r>
    </w:p>
    <w:p w:rsidR="00231E62" w:rsidRDefault="008A3C7F">
      <w:pPr>
        <w:numPr>
          <w:ilvl w:val="0"/>
          <w:numId w:val="38"/>
        </w:numPr>
        <w:rPr>
          <w:sz w:val="24"/>
          <w:szCs w:val="24"/>
          <w:lang w:val="es-VE"/>
        </w:rPr>
      </w:pPr>
      <w:r>
        <w:rPr>
          <w:sz w:val="24"/>
          <w:szCs w:val="24"/>
          <w:lang w:val="es-VE"/>
        </w:rPr>
        <w:t xml:space="preserve">Almendra-Pegueros R, </w:t>
      </w:r>
      <w:proofErr w:type="spellStart"/>
      <w:r>
        <w:rPr>
          <w:sz w:val="24"/>
          <w:szCs w:val="24"/>
          <w:lang w:val="es-VE"/>
        </w:rPr>
        <w:t>Baladia</w:t>
      </w:r>
      <w:proofErr w:type="spellEnd"/>
      <w:r>
        <w:rPr>
          <w:sz w:val="24"/>
          <w:szCs w:val="24"/>
          <w:lang w:val="es-VE"/>
        </w:rPr>
        <w:t xml:space="preserve"> E, Ramírez-Contreras C, Rojas-Cárdenas, Vila- Martí A, Moya Osorio A, et al. Conducta alimentaria durante el confinamiento por COVID-19(</w:t>
      </w:r>
      <w:proofErr w:type="spellStart"/>
      <w:r>
        <w:rPr>
          <w:sz w:val="24"/>
          <w:szCs w:val="24"/>
          <w:lang w:val="es-VE"/>
        </w:rPr>
        <w:t>CoV-Eat</w:t>
      </w:r>
      <w:proofErr w:type="spellEnd"/>
      <w:r>
        <w:rPr>
          <w:sz w:val="24"/>
          <w:szCs w:val="24"/>
          <w:lang w:val="es-VE"/>
        </w:rPr>
        <w:t xml:space="preserve"> Project): protocolo de un estudio transversal en países de habla hispana. RNCM. Enero, 2021. doi:10.35454/ rncm.v4n3.267</w:t>
      </w:r>
    </w:p>
    <w:p w:rsidR="00231E62" w:rsidRDefault="008A3C7F">
      <w:pPr>
        <w:numPr>
          <w:ilvl w:val="0"/>
          <w:numId w:val="38"/>
        </w:numPr>
        <w:rPr>
          <w:sz w:val="24"/>
          <w:szCs w:val="24"/>
          <w:lang w:val="es-VE"/>
        </w:rPr>
      </w:pPr>
      <w:r w:rsidRPr="008A3C7F">
        <w:rPr>
          <w:sz w:val="24"/>
          <w:szCs w:val="24"/>
        </w:rPr>
        <w:t xml:space="preserve">Clememensen C, Petersen M, Sorensen TIA. Will the COVID-19 pandemic worsen the obesity epidemic? </w:t>
      </w:r>
      <w:proofErr w:type="spellStart"/>
      <w:r>
        <w:rPr>
          <w:sz w:val="24"/>
          <w:szCs w:val="24"/>
          <w:lang w:val="es-VE"/>
        </w:rPr>
        <w:t>Nat</w:t>
      </w:r>
      <w:proofErr w:type="spellEnd"/>
      <w:r>
        <w:rPr>
          <w:sz w:val="24"/>
          <w:szCs w:val="24"/>
          <w:lang w:val="es-VE"/>
        </w:rPr>
        <w:t xml:space="preserve"> </w:t>
      </w:r>
      <w:proofErr w:type="spellStart"/>
      <w:r>
        <w:rPr>
          <w:sz w:val="24"/>
          <w:szCs w:val="24"/>
          <w:lang w:val="es-VE"/>
        </w:rPr>
        <w:t>Rev</w:t>
      </w:r>
      <w:proofErr w:type="spellEnd"/>
      <w:r>
        <w:rPr>
          <w:sz w:val="24"/>
          <w:szCs w:val="24"/>
          <w:lang w:val="es-VE"/>
        </w:rPr>
        <w:t xml:space="preserve"> </w:t>
      </w:r>
      <w:proofErr w:type="spellStart"/>
      <w:r>
        <w:rPr>
          <w:sz w:val="24"/>
          <w:szCs w:val="24"/>
          <w:lang w:val="es-VE"/>
        </w:rPr>
        <w:t>Endocrinol</w:t>
      </w:r>
      <w:proofErr w:type="spellEnd"/>
      <w:r>
        <w:rPr>
          <w:sz w:val="24"/>
          <w:szCs w:val="24"/>
          <w:lang w:val="es-VE"/>
        </w:rPr>
        <w:t xml:space="preserve">. 2020 </w:t>
      </w:r>
      <w:proofErr w:type="spellStart"/>
      <w:r>
        <w:rPr>
          <w:sz w:val="24"/>
          <w:szCs w:val="24"/>
          <w:lang w:val="es-VE"/>
        </w:rPr>
        <w:t>Sep</w:t>
      </w:r>
      <w:proofErr w:type="spellEnd"/>
      <w:r>
        <w:rPr>
          <w:sz w:val="24"/>
          <w:szCs w:val="24"/>
          <w:lang w:val="es-VE"/>
        </w:rPr>
        <w:t xml:space="preserve">; 16(9):469-470: </w:t>
      </w:r>
      <w:proofErr w:type="spellStart"/>
      <w:r>
        <w:rPr>
          <w:sz w:val="24"/>
          <w:szCs w:val="24"/>
          <w:lang w:val="es-VE"/>
        </w:rPr>
        <w:t>doi</w:t>
      </w:r>
      <w:proofErr w:type="spellEnd"/>
      <w:r>
        <w:rPr>
          <w:sz w:val="24"/>
          <w:szCs w:val="24"/>
          <w:lang w:val="es-VE"/>
        </w:rPr>
        <w:t>: 10.1038/s41574-020-0387-z.</w:t>
      </w:r>
    </w:p>
    <w:p w:rsidR="00231E62" w:rsidRDefault="008A3C7F">
      <w:pPr>
        <w:numPr>
          <w:ilvl w:val="0"/>
          <w:numId w:val="38"/>
        </w:numPr>
        <w:rPr>
          <w:sz w:val="24"/>
          <w:szCs w:val="24"/>
          <w:lang w:val="es-VE"/>
        </w:rPr>
      </w:pPr>
      <w:r w:rsidRPr="008A3C7F">
        <w:rPr>
          <w:sz w:val="24"/>
          <w:szCs w:val="24"/>
        </w:rPr>
        <w:t xml:space="preserve">Silverio R, Gonçalves DC, Andrade MF, Seelaender M. Coronavirus Disease 2019 (COVID-19) and Nutritional Status: The Missing Link? </w:t>
      </w:r>
      <w:proofErr w:type="spellStart"/>
      <w:r>
        <w:rPr>
          <w:sz w:val="24"/>
          <w:szCs w:val="24"/>
          <w:lang w:val="es-VE"/>
        </w:rPr>
        <w:t>Adv</w:t>
      </w:r>
      <w:proofErr w:type="spellEnd"/>
      <w:r>
        <w:rPr>
          <w:sz w:val="24"/>
          <w:szCs w:val="24"/>
          <w:lang w:val="es-VE"/>
        </w:rPr>
        <w:t xml:space="preserve"> </w:t>
      </w:r>
      <w:proofErr w:type="spellStart"/>
      <w:r>
        <w:rPr>
          <w:sz w:val="24"/>
          <w:szCs w:val="24"/>
          <w:lang w:val="es-VE"/>
        </w:rPr>
        <w:t>Nutr</w:t>
      </w:r>
      <w:proofErr w:type="spellEnd"/>
      <w:r>
        <w:rPr>
          <w:sz w:val="24"/>
          <w:szCs w:val="24"/>
          <w:lang w:val="es-VE"/>
        </w:rPr>
        <w:t xml:space="preserve">. 2020 Sep. </w:t>
      </w:r>
      <w:proofErr w:type="spellStart"/>
      <w:r>
        <w:rPr>
          <w:sz w:val="24"/>
          <w:szCs w:val="24"/>
          <w:lang w:val="es-VE"/>
        </w:rPr>
        <w:t>doi</w:t>
      </w:r>
      <w:proofErr w:type="spellEnd"/>
      <w:r>
        <w:rPr>
          <w:sz w:val="24"/>
          <w:szCs w:val="24"/>
          <w:lang w:val="es-VE"/>
        </w:rPr>
        <w:t>: 10.1093/</w:t>
      </w:r>
      <w:proofErr w:type="spellStart"/>
      <w:r>
        <w:rPr>
          <w:sz w:val="24"/>
          <w:szCs w:val="24"/>
          <w:lang w:val="es-VE"/>
        </w:rPr>
        <w:t>advances</w:t>
      </w:r>
      <w:proofErr w:type="spellEnd"/>
      <w:r>
        <w:rPr>
          <w:sz w:val="24"/>
          <w:szCs w:val="24"/>
          <w:lang w:val="es-VE"/>
        </w:rPr>
        <w:t>/nmaa125</w:t>
      </w:r>
    </w:p>
    <w:p w:rsidR="00231E62" w:rsidRDefault="008A3C7F">
      <w:pPr>
        <w:numPr>
          <w:ilvl w:val="0"/>
          <w:numId w:val="38"/>
        </w:numPr>
        <w:rPr>
          <w:sz w:val="24"/>
          <w:szCs w:val="24"/>
          <w:lang w:val="es-VE"/>
        </w:rPr>
      </w:pPr>
      <w:r w:rsidRPr="008A3C7F">
        <w:rPr>
          <w:sz w:val="24"/>
          <w:szCs w:val="24"/>
        </w:rPr>
        <w:t xml:space="preserve">Dietz W, Santos-Burgoa C. Obesity and its Implications for COVID-19 Mortality. </w:t>
      </w:r>
      <w:proofErr w:type="spellStart"/>
      <w:r>
        <w:rPr>
          <w:sz w:val="24"/>
          <w:szCs w:val="24"/>
          <w:lang w:val="es-VE"/>
        </w:rPr>
        <w:t>Obesity</w:t>
      </w:r>
      <w:proofErr w:type="spellEnd"/>
      <w:r>
        <w:rPr>
          <w:sz w:val="24"/>
          <w:szCs w:val="24"/>
          <w:lang w:val="es-VE"/>
        </w:rPr>
        <w:t xml:space="preserve"> (</w:t>
      </w:r>
      <w:proofErr w:type="spellStart"/>
      <w:r>
        <w:rPr>
          <w:sz w:val="24"/>
          <w:szCs w:val="24"/>
          <w:lang w:val="es-VE"/>
        </w:rPr>
        <w:t>Silver</w:t>
      </w:r>
      <w:proofErr w:type="spellEnd"/>
      <w:r>
        <w:rPr>
          <w:sz w:val="24"/>
          <w:szCs w:val="24"/>
          <w:lang w:val="es-VE"/>
        </w:rPr>
        <w:t xml:space="preserve"> Spring). 2020 Junio; 28(6):1005. </w:t>
      </w:r>
      <w:proofErr w:type="spellStart"/>
      <w:r>
        <w:rPr>
          <w:sz w:val="24"/>
          <w:szCs w:val="24"/>
          <w:lang w:val="es-VE"/>
        </w:rPr>
        <w:t>doi</w:t>
      </w:r>
      <w:proofErr w:type="spellEnd"/>
      <w:r>
        <w:rPr>
          <w:sz w:val="24"/>
          <w:szCs w:val="24"/>
          <w:lang w:val="es-VE"/>
        </w:rPr>
        <w:t>: 10.1002/oby.22818.</w:t>
      </w:r>
    </w:p>
    <w:p w:rsidR="00231E62" w:rsidRDefault="008A3C7F">
      <w:pPr>
        <w:numPr>
          <w:ilvl w:val="0"/>
          <w:numId w:val="38"/>
        </w:numPr>
        <w:rPr>
          <w:sz w:val="24"/>
          <w:szCs w:val="24"/>
          <w:lang w:val="es-VE"/>
        </w:rPr>
      </w:pPr>
      <w:proofErr w:type="spellStart"/>
      <w:r>
        <w:rPr>
          <w:sz w:val="24"/>
          <w:szCs w:val="24"/>
          <w:lang w:val="es-VE"/>
        </w:rPr>
        <w:t>Földi</w:t>
      </w:r>
      <w:proofErr w:type="spellEnd"/>
      <w:r>
        <w:rPr>
          <w:sz w:val="24"/>
          <w:szCs w:val="24"/>
          <w:lang w:val="es-VE"/>
        </w:rPr>
        <w:t xml:space="preserve"> M, </w:t>
      </w:r>
      <w:proofErr w:type="spellStart"/>
      <w:r>
        <w:rPr>
          <w:sz w:val="24"/>
          <w:szCs w:val="24"/>
          <w:lang w:val="es-VE"/>
        </w:rPr>
        <w:t>Farkas</w:t>
      </w:r>
      <w:proofErr w:type="spellEnd"/>
      <w:r>
        <w:rPr>
          <w:sz w:val="24"/>
          <w:szCs w:val="24"/>
          <w:lang w:val="es-VE"/>
        </w:rPr>
        <w:t xml:space="preserve"> N, </w:t>
      </w:r>
      <w:proofErr w:type="spellStart"/>
      <w:r>
        <w:rPr>
          <w:sz w:val="24"/>
          <w:szCs w:val="24"/>
          <w:lang w:val="es-VE"/>
        </w:rPr>
        <w:t>Kiss</w:t>
      </w:r>
      <w:proofErr w:type="spellEnd"/>
      <w:r>
        <w:rPr>
          <w:sz w:val="24"/>
          <w:szCs w:val="24"/>
          <w:lang w:val="es-VE"/>
        </w:rPr>
        <w:t xml:space="preserve"> S, </w:t>
      </w:r>
      <w:proofErr w:type="spellStart"/>
      <w:r>
        <w:rPr>
          <w:sz w:val="24"/>
          <w:szCs w:val="24"/>
          <w:lang w:val="es-VE"/>
        </w:rPr>
        <w:t>Zádori</w:t>
      </w:r>
      <w:proofErr w:type="spellEnd"/>
      <w:r>
        <w:rPr>
          <w:sz w:val="24"/>
          <w:szCs w:val="24"/>
          <w:lang w:val="es-VE"/>
        </w:rPr>
        <w:t xml:space="preserve"> N, </w:t>
      </w:r>
      <w:proofErr w:type="spellStart"/>
      <w:r>
        <w:rPr>
          <w:sz w:val="24"/>
          <w:szCs w:val="24"/>
          <w:lang w:val="es-VE"/>
        </w:rPr>
        <w:t>Váncsa</w:t>
      </w:r>
      <w:proofErr w:type="spellEnd"/>
      <w:r>
        <w:rPr>
          <w:sz w:val="24"/>
          <w:szCs w:val="24"/>
          <w:lang w:val="es-VE"/>
        </w:rPr>
        <w:t xml:space="preserve"> S, </w:t>
      </w:r>
      <w:proofErr w:type="spellStart"/>
      <w:r>
        <w:rPr>
          <w:sz w:val="24"/>
          <w:szCs w:val="24"/>
          <w:lang w:val="es-VE"/>
        </w:rPr>
        <w:t>Szakó</w:t>
      </w:r>
      <w:proofErr w:type="spellEnd"/>
      <w:r>
        <w:rPr>
          <w:sz w:val="24"/>
          <w:szCs w:val="24"/>
          <w:lang w:val="es-VE"/>
        </w:rPr>
        <w:t xml:space="preserve"> L, </w:t>
      </w:r>
      <w:proofErr w:type="spellStart"/>
      <w:r>
        <w:rPr>
          <w:sz w:val="24"/>
          <w:szCs w:val="24"/>
          <w:lang w:val="es-VE"/>
        </w:rPr>
        <w:t>Dembrovszky</w:t>
      </w:r>
      <w:proofErr w:type="spellEnd"/>
      <w:r>
        <w:rPr>
          <w:sz w:val="24"/>
          <w:szCs w:val="24"/>
          <w:lang w:val="es-VE"/>
        </w:rPr>
        <w:t xml:space="preserve"> F, </w:t>
      </w:r>
      <w:proofErr w:type="spellStart"/>
      <w:r>
        <w:rPr>
          <w:sz w:val="24"/>
          <w:szCs w:val="24"/>
          <w:lang w:val="es-VE"/>
        </w:rPr>
        <w:t>Solymár</w:t>
      </w:r>
      <w:proofErr w:type="spellEnd"/>
      <w:r>
        <w:rPr>
          <w:sz w:val="24"/>
          <w:szCs w:val="24"/>
          <w:lang w:val="es-VE"/>
        </w:rPr>
        <w:t xml:space="preserve"> M, </w:t>
      </w:r>
      <w:proofErr w:type="spellStart"/>
      <w:r>
        <w:rPr>
          <w:sz w:val="24"/>
          <w:szCs w:val="24"/>
          <w:lang w:val="es-VE"/>
        </w:rPr>
        <w:t>Bartalis</w:t>
      </w:r>
      <w:proofErr w:type="spellEnd"/>
      <w:r>
        <w:rPr>
          <w:sz w:val="24"/>
          <w:szCs w:val="24"/>
          <w:lang w:val="es-VE"/>
        </w:rPr>
        <w:t xml:space="preserve"> E, </w:t>
      </w:r>
      <w:proofErr w:type="spellStart"/>
      <w:r>
        <w:rPr>
          <w:sz w:val="24"/>
          <w:szCs w:val="24"/>
          <w:lang w:val="es-VE"/>
        </w:rPr>
        <w:t>Szakács</w:t>
      </w:r>
      <w:proofErr w:type="spellEnd"/>
      <w:r>
        <w:rPr>
          <w:sz w:val="24"/>
          <w:szCs w:val="24"/>
          <w:lang w:val="es-VE"/>
        </w:rPr>
        <w:t xml:space="preserve"> Z, Hartmann P, </w:t>
      </w:r>
      <w:proofErr w:type="spellStart"/>
      <w:r>
        <w:rPr>
          <w:sz w:val="24"/>
          <w:szCs w:val="24"/>
          <w:lang w:val="es-VE"/>
        </w:rPr>
        <w:t>Pár</w:t>
      </w:r>
      <w:proofErr w:type="spellEnd"/>
      <w:r>
        <w:rPr>
          <w:sz w:val="24"/>
          <w:szCs w:val="24"/>
          <w:lang w:val="es-VE"/>
        </w:rPr>
        <w:t xml:space="preserve"> G, </w:t>
      </w:r>
      <w:proofErr w:type="spellStart"/>
      <w:r>
        <w:rPr>
          <w:sz w:val="24"/>
          <w:szCs w:val="24"/>
          <w:lang w:val="es-VE"/>
        </w:rPr>
        <w:t>Erőss</w:t>
      </w:r>
      <w:proofErr w:type="spellEnd"/>
      <w:r>
        <w:rPr>
          <w:sz w:val="24"/>
          <w:szCs w:val="24"/>
          <w:lang w:val="es-VE"/>
        </w:rPr>
        <w:t xml:space="preserve"> B, </w:t>
      </w:r>
      <w:proofErr w:type="spellStart"/>
      <w:r>
        <w:rPr>
          <w:sz w:val="24"/>
          <w:szCs w:val="24"/>
          <w:lang w:val="es-VE"/>
        </w:rPr>
        <w:t>Molnár</w:t>
      </w:r>
      <w:proofErr w:type="spellEnd"/>
      <w:r>
        <w:rPr>
          <w:sz w:val="24"/>
          <w:szCs w:val="24"/>
          <w:lang w:val="es-VE"/>
        </w:rPr>
        <w:t xml:space="preserve"> Z, </w:t>
      </w:r>
      <w:proofErr w:type="spellStart"/>
      <w:r>
        <w:rPr>
          <w:sz w:val="24"/>
          <w:szCs w:val="24"/>
          <w:lang w:val="es-VE"/>
        </w:rPr>
        <w:t>Hegyi</w:t>
      </w:r>
      <w:proofErr w:type="spellEnd"/>
      <w:r>
        <w:rPr>
          <w:sz w:val="24"/>
          <w:szCs w:val="24"/>
          <w:lang w:val="es-VE"/>
        </w:rPr>
        <w:t xml:space="preserve"> P, </w:t>
      </w:r>
      <w:proofErr w:type="spellStart"/>
      <w:r>
        <w:rPr>
          <w:sz w:val="24"/>
          <w:szCs w:val="24"/>
          <w:lang w:val="es-VE"/>
        </w:rPr>
        <w:t>Szentesi</w:t>
      </w:r>
      <w:proofErr w:type="spellEnd"/>
      <w:r>
        <w:rPr>
          <w:sz w:val="24"/>
          <w:szCs w:val="24"/>
          <w:lang w:val="es-VE"/>
        </w:rPr>
        <w:t xml:space="preserve"> A; KETLAK </w:t>
      </w:r>
      <w:proofErr w:type="spellStart"/>
      <w:r>
        <w:rPr>
          <w:sz w:val="24"/>
          <w:szCs w:val="24"/>
          <w:lang w:val="es-VE"/>
        </w:rPr>
        <w:t>Study</w:t>
      </w:r>
      <w:proofErr w:type="spellEnd"/>
      <w:r>
        <w:rPr>
          <w:sz w:val="24"/>
          <w:szCs w:val="24"/>
          <w:lang w:val="es-VE"/>
        </w:rPr>
        <w:t xml:space="preserve"> </w:t>
      </w:r>
      <w:proofErr w:type="spellStart"/>
      <w:r>
        <w:rPr>
          <w:sz w:val="24"/>
          <w:szCs w:val="24"/>
          <w:lang w:val="es-VE"/>
        </w:rPr>
        <w:t>Group</w:t>
      </w:r>
      <w:proofErr w:type="spellEnd"/>
      <w:r>
        <w:rPr>
          <w:sz w:val="24"/>
          <w:szCs w:val="24"/>
          <w:lang w:val="es-VE"/>
        </w:rPr>
        <w:t xml:space="preserve">. </w:t>
      </w:r>
      <w:r w:rsidRPr="008A3C7F">
        <w:rPr>
          <w:sz w:val="24"/>
          <w:szCs w:val="24"/>
        </w:rPr>
        <w:t xml:space="preserve">Obesity is a risk factor for developing critical condition in COVID-19 patients: A systematic review and meta-analysis. </w:t>
      </w:r>
      <w:proofErr w:type="spellStart"/>
      <w:r>
        <w:rPr>
          <w:sz w:val="24"/>
          <w:szCs w:val="24"/>
          <w:lang w:val="es-VE"/>
        </w:rPr>
        <w:t>Obes</w:t>
      </w:r>
      <w:proofErr w:type="spellEnd"/>
      <w:r>
        <w:rPr>
          <w:sz w:val="24"/>
          <w:szCs w:val="24"/>
          <w:lang w:val="es-VE"/>
        </w:rPr>
        <w:t xml:space="preserve"> Rev. 2020 Oct; 21(10):e13095. </w:t>
      </w:r>
      <w:proofErr w:type="spellStart"/>
      <w:r>
        <w:rPr>
          <w:sz w:val="24"/>
          <w:szCs w:val="24"/>
          <w:lang w:val="es-VE"/>
        </w:rPr>
        <w:t>doi</w:t>
      </w:r>
      <w:proofErr w:type="spellEnd"/>
      <w:r>
        <w:rPr>
          <w:sz w:val="24"/>
          <w:szCs w:val="24"/>
          <w:lang w:val="es-VE"/>
        </w:rPr>
        <w:t>: 10.1111/obr.13095.</w:t>
      </w:r>
    </w:p>
    <w:p w:rsidR="00231E62" w:rsidRDefault="008A3C7F">
      <w:pPr>
        <w:numPr>
          <w:ilvl w:val="0"/>
          <w:numId w:val="38"/>
        </w:numPr>
        <w:rPr>
          <w:sz w:val="24"/>
          <w:szCs w:val="24"/>
          <w:lang w:val="es-VE"/>
        </w:rPr>
      </w:pPr>
      <w:r w:rsidRPr="008A3C7F">
        <w:rPr>
          <w:sz w:val="24"/>
          <w:szCs w:val="24"/>
        </w:rPr>
        <w:t xml:space="preserve">Huang Y, Lu Y, Huang YM, Wang M, Ling W, Sui Y, Zhao HL. Obesity in patients with COVID-19: a systematic review and meta-analysis. </w:t>
      </w:r>
      <w:proofErr w:type="spellStart"/>
      <w:r>
        <w:rPr>
          <w:sz w:val="24"/>
          <w:szCs w:val="24"/>
          <w:lang w:val="es-VE"/>
        </w:rPr>
        <w:t>Metabolism</w:t>
      </w:r>
      <w:proofErr w:type="spellEnd"/>
      <w:r>
        <w:rPr>
          <w:sz w:val="24"/>
          <w:szCs w:val="24"/>
          <w:lang w:val="es-VE"/>
        </w:rPr>
        <w:t>. 2020</w:t>
      </w:r>
    </w:p>
    <w:p w:rsidR="00231E62" w:rsidRDefault="008A3C7F">
      <w:pPr>
        <w:numPr>
          <w:ilvl w:val="0"/>
          <w:numId w:val="38"/>
        </w:numPr>
        <w:rPr>
          <w:sz w:val="24"/>
          <w:szCs w:val="24"/>
          <w:lang w:val="es-VE"/>
        </w:rPr>
      </w:pPr>
      <w:r w:rsidRPr="008A3C7F">
        <w:rPr>
          <w:sz w:val="24"/>
          <w:szCs w:val="24"/>
        </w:rPr>
        <w:t xml:space="preserve"> Vas P, Hopkins D, Feher M, Rubino F, B Whyte M. Diabetes, obesity and COVID-19: A complex interplay.  </w:t>
      </w:r>
      <w:r>
        <w:rPr>
          <w:sz w:val="24"/>
          <w:szCs w:val="24"/>
          <w:lang w:val="es-VE"/>
        </w:rPr>
        <w:t xml:space="preserve">Diabetes  </w:t>
      </w:r>
      <w:proofErr w:type="spellStart"/>
      <w:r>
        <w:rPr>
          <w:sz w:val="24"/>
          <w:szCs w:val="24"/>
          <w:lang w:val="es-VE"/>
        </w:rPr>
        <w:t>Obes</w:t>
      </w:r>
      <w:proofErr w:type="spellEnd"/>
      <w:r>
        <w:rPr>
          <w:sz w:val="24"/>
          <w:szCs w:val="24"/>
          <w:lang w:val="es-VE"/>
        </w:rPr>
        <w:t xml:space="preserve">  </w:t>
      </w:r>
      <w:proofErr w:type="spellStart"/>
      <w:r>
        <w:rPr>
          <w:sz w:val="24"/>
          <w:szCs w:val="24"/>
          <w:lang w:val="es-VE"/>
        </w:rPr>
        <w:t>Metab</w:t>
      </w:r>
      <w:proofErr w:type="spellEnd"/>
      <w:r>
        <w:rPr>
          <w:sz w:val="24"/>
          <w:szCs w:val="24"/>
          <w:lang w:val="es-VE"/>
        </w:rPr>
        <w:t xml:space="preserve">.  2020 Octubre; 22(10): 1892-1896.  </w:t>
      </w:r>
      <w:proofErr w:type="spellStart"/>
      <w:r>
        <w:rPr>
          <w:sz w:val="24"/>
          <w:szCs w:val="24"/>
          <w:lang w:val="es-VE"/>
        </w:rPr>
        <w:t>doi</w:t>
      </w:r>
      <w:proofErr w:type="spellEnd"/>
      <w:r>
        <w:rPr>
          <w:sz w:val="24"/>
          <w:szCs w:val="24"/>
          <w:lang w:val="es-VE"/>
        </w:rPr>
        <w:t>: 10.1111/dom.14134. (48)</w:t>
      </w:r>
    </w:p>
    <w:p w:rsidR="00231E62" w:rsidRDefault="008A3C7F">
      <w:pPr>
        <w:numPr>
          <w:ilvl w:val="0"/>
          <w:numId w:val="38"/>
        </w:numPr>
        <w:rPr>
          <w:sz w:val="24"/>
          <w:szCs w:val="24"/>
          <w:lang w:val="es-VE"/>
        </w:rPr>
      </w:pPr>
      <w:r w:rsidRPr="008A3C7F">
        <w:rPr>
          <w:sz w:val="24"/>
          <w:szCs w:val="24"/>
        </w:rPr>
        <w:t xml:space="preserve">Rychter AM, Zawada A, Ratajczak AE, Dobrowolska A, Krela-Kaźmierczak I. Should patients with obesity be more afraid of COVID-19? </w:t>
      </w:r>
      <w:proofErr w:type="spellStart"/>
      <w:r>
        <w:rPr>
          <w:sz w:val="24"/>
          <w:szCs w:val="24"/>
          <w:lang w:val="es-VE"/>
        </w:rPr>
        <w:t>Obes</w:t>
      </w:r>
      <w:proofErr w:type="spellEnd"/>
      <w:r>
        <w:rPr>
          <w:sz w:val="24"/>
          <w:szCs w:val="24"/>
          <w:lang w:val="es-VE"/>
        </w:rPr>
        <w:t xml:space="preserve"> Rev. 2020 Septiembre; 21(9):e13083. </w:t>
      </w:r>
      <w:proofErr w:type="spellStart"/>
      <w:r>
        <w:rPr>
          <w:sz w:val="24"/>
          <w:szCs w:val="24"/>
          <w:lang w:val="es-VE"/>
        </w:rPr>
        <w:t>doi</w:t>
      </w:r>
      <w:proofErr w:type="spellEnd"/>
      <w:r>
        <w:rPr>
          <w:sz w:val="24"/>
          <w:szCs w:val="24"/>
          <w:lang w:val="es-VE"/>
        </w:rPr>
        <w:t xml:space="preserve">: 10.1111/obr.13083. </w:t>
      </w:r>
      <w:proofErr w:type="spellStart"/>
      <w:r>
        <w:rPr>
          <w:sz w:val="24"/>
          <w:szCs w:val="24"/>
          <w:lang w:val="es-VE"/>
        </w:rPr>
        <w:t>Epub</w:t>
      </w:r>
      <w:proofErr w:type="spellEnd"/>
      <w:r>
        <w:rPr>
          <w:sz w:val="24"/>
          <w:szCs w:val="24"/>
          <w:lang w:val="es-VE"/>
        </w:rPr>
        <w:t xml:space="preserve"> 2020 Jun 24.</w:t>
      </w:r>
    </w:p>
    <w:p w:rsidR="00231E62" w:rsidRDefault="00231E62">
      <w:pPr>
        <w:rPr>
          <w:sz w:val="24"/>
          <w:szCs w:val="24"/>
          <w:lang w:val="es-VE"/>
        </w:rPr>
        <w:sectPr w:rsidR="00231E62">
          <w:type w:val="continuous"/>
          <w:pgSz w:w="11907" w:h="15819" w:code="218"/>
          <w:pgMar w:top="1417" w:right="794" w:bottom="2268" w:left="1077" w:header="850" w:footer="850" w:gutter="0"/>
          <w:cols w:space="340"/>
          <w:docGrid w:linePitch="360"/>
        </w:sectPr>
      </w:pPr>
    </w:p>
    <w:p w:rsidR="00231E62" w:rsidRDefault="00231E62">
      <w:pPr>
        <w:pStyle w:val="End"/>
        <w:rPr>
          <w:snapToGrid/>
          <w:sz w:val="24"/>
          <w:szCs w:val="24"/>
          <w:lang w:val="es-VE" w:eastAsia="de-DE"/>
        </w:rPr>
      </w:pPr>
    </w:p>
    <w:p w:rsidR="00231E62" w:rsidRDefault="00231E62">
      <w:pPr>
        <w:pStyle w:val="End"/>
        <w:rPr>
          <w:snapToGrid/>
          <w:sz w:val="24"/>
          <w:szCs w:val="24"/>
          <w:lang w:val="es-VE" w:eastAsia="de-DE"/>
        </w:rPr>
      </w:pPr>
    </w:p>
    <w:sectPr w:rsidR="00231E62">
      <w:type w:val="continuous"/>
      <w:pgSz w:w="11907" w:h="15819" w:code="218"/>
      <w:pgMar w:top="1417" w:right="794" w:bottom="2268" w:left="1077"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B70" w:rsidRDefault="008A3C7F">
      <w:r>
        <w:separator/>
      </w:r>
    </w:p>
  </w:endnote>
  <w:endnote w:type="continuationSeparator" w:id="0">
    <w:p w:rsidR="00967B70" w:rsidRDefault="008A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B70" w:rsidRDefault="008A3C7F">
      <w:r>
        <w:separator/>
      </w:r>
    </w:p>
  </w:footnote>
  <w:footnote w:type="continuationSeparator" w:id="0">
    <w:p w:rsidR="00967B70" w:rsidRDefault="008A3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E62" w:rsidRDefault="008A3C7F">
    <w:pPr>
      <w:pStyle w:val="Encabezado"/>
      <w:pBdr>
        <w:bottom w:val="thickThinSmallGap" w:sz="24" w:space="1" w:color="622423"/>
      </w:pBdr>
      <w:jc w:val="center"/>
      <w:rPr>
        <w:color w:val="808080"/>
        <w:sz w:val="20"/>
        <w:lang w:val="es-ES"/>
      </w:rPr>
    </w:pPr>
    <w:r>
      <w:rPr>
        <w:color w:val="808080"/>
        <w:sz w:val="20"/>
        <w:lang w:val="es-ES"/>
      </w:rPr>
      <w:t xml:space="preserve">I Jornada Científica de Higiene, Epidemiología y Microbiología </w:t>
    </w:r>
  </w:p>
  <w:p w:rsidR="00231E62" w:rsidRDefault="008A3C7F">
    <w:pPr>
      <w:pStyle w:val="Encabezado"/>
      <w:pBdr>
        <w:bottom w:val="thickThinSmallGap" w:sz="24" w:space="1" w:color="622423"/>
      </w:pBdr>
      <w:jc w:val="center"/>
      <w:rPr>
        <w:color w:val="808080"/>
        <w:sz w:val="20"/>
        <w:lang w:val="es-ES"/>
      </w:rPr>
    </w:pPr>
    <w:r>
      <w:rPr>
        <w:color w:val="808080"/>
        <w:sz w:val="20"/>
        <w:lang w:val="es-ES"/>
      </w:rPr>
      <w:t>La Habana 2025</w:t>
    </w:r>
  </w:p>
  <w:p w:rsidR="00231E62" w:rsidRDefault="00231E62">
    <w:pPr>
      <w:pStyle w:val="Encabezado"/>
      <w:rPr>
        <w:szCs w:val="22"/>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E62" w:rsidRDefault="008A3C7F">
    <w:pPr>
      <w:pStyle w:val="Encabezado"/>
      <w:pBdr>
        <w:bottom w:val="thickThinSmallGap" w:sz="24" w:space="1" w:color="622423"/>
      </w:pBdr>
      <w:jc w:val="center"/>
      <w:rPr>
        <w:color w:val="808080"/>
        <w:sz w:val="20"/>
        <w:lang w:val="es-ES"/>
      </w:rPr>
    </w:pPr>
    <w:r>
      <w:rPr>
        <w:color w:val="808080"/>
        <w:sz w:val="20"/>
        <w:lang w:val="es-ES"/>
      </w:rPr>
      <w:t xml:space="preserve">I Jornada Virtual de Higiene, Epidemiología y Microbiología </w:t>
    </w:r>
  </w:p>
  <w:p w:rsidR="00231E62" w:rsidRDefault="008A3C7F">
    <w:pPr>
      <w:pStyle w:val="Encabezado"/>
      <w:pBdr>
        <w:bottom w:val="thickThinSmallGap" w:sz="24" w:space="1" w:color="622423"/>
      </w:pBdr>
      <w:jc w:val="center"/>
      <w:rPr>
        <w:color w:val="808080"/>
        <w:sz w:val="20"/>
        <w:lang w:val="es-ES"/>
      </w:rPr>
    </w:pPr>
    <w:r>
      <w:rPr>
        <w:color w:val="808080"/>
        <w:sz w:val="20"/>
        <w:lang w:val="es-ES"/>
      </w:rPr>
      <w:t>La Habana 2025</w:t>
    </w:r>
  </w:p>
  <w:p w:rsidR="00231E62" w:rsidRDefault="008A3C7F">
    <w:pPr>
      <w:pStyle w:val="Encabezado"/>
      <w:rPr>
        <w:szCs w:val="22"/>
        <w:lang w:val="es-ES"/>
      </w:rPr>
    </w:pPr>
    <w:r>
      <w:rPr>
        <w:szCs w:val="22"/>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A220B58"/>
    <w:lvl w:ilvl="0">
      <w:start w:val="1"/>
      <w:numFmt w:val="decimal"/>
      <w:lvlText w:val="%1."/>
      <w:lvlJc w:val="left"/>
      <w:pPr>
        <w:tabs>
          <w:tab w:val="left" w:pos="1209"/>
        </w:tabs>
        <w:ind w:left="1209" w:hanging="360"/>
      </w:pPr>
    </w:lvl>
  </w:abstractNum>
  <w:abstractNum w:abstractNumId="1">
    <w:nsid w:val="00000002"/>
    <w:multiLevelType w:val="singleLevel"/>
    <w:tmpl w:val="8968C390"/>
    <w:lvl w:ilvl="0">
      <w:start w:val="1"/>
      <w:numFmt w:val="decimal"/>
      <w:lvlText w:val="%1."/>
      <w:lvlJc w:val="left"/>
      <w:pPr>
        <w:tabs>
          <w:tab w:val="left" w:pos="926"/>
        </w:tabs>
        <w:ind w:left="926" w:hanging="360"/>
      </w:pPr>
    </w:lvl>
  </w:abstractNum>
  <w:abstractNum w:abstractNumId="2">
    <w:nsid w:val="00000003"/>
    <w:multiLevelType w:val="singleLevel"/>
    <w:tmpl w:val="B67639D8"/>
    <w:lvl w:ilvl="0">
      <w:start w:val="1"/>
      <w:numFmt w:val="decimal"/>
      <w:lvlText w:val="%1."/>
      <w:lvlJc w:val="left"/>
      <w:pPr>
        <w:tabs>
          <w:tab w:val="left" w:pos="643"/>
        </w:tabs>
        <w:ind w:left="643" w:hanging="360"/>
      </w:pPr>
    </w:lvl>
  </w:abstractNum>
  <w:abstractNum w:abstractNumId="3">
    <w:nsid w:val="00000004"/>
    <w:multiLevelType w:val="singleLevel"/>
    <w:tmpl w:val="F34E8EBA"/>
    <w:lvl w:ilvl="0">
      <w:start w:val="1"/>
      <w:numFmt w:val="bullet"/>
      <w:lvlText w:val=""/>
      <w:lvlJc w:val="left"/>
      <w:pPr>
        <w:tabs>
          <w:tab w:val="left" w:pos="1492"/>
        </w:tabs>
        <w:ind w:left="1492" w:hanging="360"/>
      </w:pPr>
      <w:rPr>
        <w:rFonts w:ascii="Symbol" w:hAnsi="Symbol" w:hint="default"/>
      </w:rPr>
    </w:lvl>
  </w:abstractNum>
  <w:abstractNum w:abstractNumId="4">
    <w:nsid w:val="00000005"/>
    <w:multiLevelType w:val="singleLevel"/>
    <w:tmpl w:val="E5C07CE6"/>
    <w:lvl w:ilvl="0">
      <w:start w:val="1"/>
      <w:numFmt w:val="bullet"/>
      <w:lvlText w:val=""/>
      <w:lvlJc w:val="left"/>
      <w:pPr>
        <w:tabs>
          <w:tab w:val="left" w:pos="1209"/>
        </w:tabs>
        <w:ind w:left="1209" w:hanging="360"/>
      </w:pPr>
      <w:rPr>
        <w:rFonts w:ascii="Symbol" w:hAnsi="Symbol" w:hint="default"/>
      </w:rPr>
    </w:lvl>
  </w:abstractNum>
  <w:abstractNum w:abstractNumId="5">
    <w:nsid w:val="00000006"/>
    <w:multiLevelType w:val="singleLevel"/>
    <w:tmpl w:val="2CA625DC"/>
    <w:lvl w:ilvl="0">
      <w:start w:val="1"/>
      <w:numFmt w:val="bullet"/>
      <w:pStyle w:val="Listaconvietas3"/>
      <w:lvlText w:val=""/>
      <w:lvlJc w:val="left"/>
      <w:pPr>
        <w:tabs>
          <w:tab w:val="left" w:pos="926"/>
        </w:tabs>
        <w:ind w:left="926" w:hanging="360"/>
      </w:pPr>
      <w:rPr>
        <w:rFonts w:ascii="Symbol" w:hAnsi="Symbol" w:hint="default"/>
      </w:rPr>
    </w:lvl>
  </w:abstractNum>
  <w:abstractNum w:abstractNumId="6">
    <w:nsid w:val="00000007"/>
    <w:multiLevelType w:val="singleLevel"/>
    <w:tmpl w:val="6F5A2E8C"/>
    <w:lvl w:ilvl="0">
      <w:start w:val="1"/>
      <w:numFmt w:val="bullet"/>
      <w:pStyle w:val="Listaconvietas2"/>
      <w:lvlText w:val=""/>
      <w:lvlJc w:val="left"/>
      <w:pPr>
        <w:tabs>
          <w:tab w:val="left" w:pos="643"/>
        </w:tabs>
        <w:ind w:left="643" w:hanging="360"/>
      </w:pPr>
      <w:rPr>
        <w:rFonts w:ascii="Symbol" w:hAnsi="Symbol" w:hint="default"/>
      </w:rPr>
    </w:lvl>
  </w:abstractNum>
  <w:abstractNum w:abstractNumId="7">
    <w:nsid w:val="00000008"/>
    <w:multiLevelType w:val="singleLevel"/>
    <w:tmpl w:val="0FC661D6"/>
    <w:lvl w:ilvl="0">
      <w:start w:val="1"/>
      <w:numFmt w:val="decimal"/>
      <w:lvlText w:val="%1."/>
      <w:lvlJc w:val="left"/>
      <w:pPr>
        <w:tabs>
          <w:tab w:val="left" w:pos="360"/>
        </w:tabs>
        <w:ind w:left="360" w:hanging="360"/>
      </w:pPr>
    </w:lvl>
  </w:abstractNum>
  <w:abstractNum w:abstractNumId="8">
    <w:nsid w:val="00000009"/>
    <w:multiLevelType w:val="singleLevel"/>
    <w:tmpl w:val="5888E0CC"/>
    <w:lvl w:ilvl="0">
      <w:start w:val="1"/>
      <w:numFmt w:val="bullet"/>
      <w:lvlText w:val=""/>
      <w:lvlJc w:val="left"/>
      <w:pPr>
        <w:tabs>
          <w:tab w:val="left" w:pos="360"/>
        </w:tabs>
        <w:ind w:left="360" w:hanging="360"/>
      </w:pPr>
      <w:rPr>
        <w:rFonts w:ascii="Symbol" w:hAnsi="Symbol" w:hint="default"/>
      </w:rPr>
    </w:lvl>
  </w:abstractNum>
  <w:abstractNum w:abstractNumId="9">
    <w:nsid w:val="0000000A"/>
    <w:multiLevelType w:val="multilevel"/>
    <w:tmpl w:val="0E5E8046"/>
    <w:lvl w:ilvl="0">
      <w:start w:val="1"/>
      <w:numFmt w:val="decimal"/>
      <w:lvlText w:val="%1."/>
      <w:lvlJc w:val="left"/>
      <w:pPr>
        <w:tabs>
          <w:tab w:val="left" w:pos="340"/>
        </w:tabs>
        <w:ind w:left="340" w:hanging="340"/>
      </w:pPr>
      <w:rPr>
        <w:rFonts w:ascii="Times New Roman" w:hAnsi="Times New Roman" w:hint="default"/>
        <w:sz w:val="20"/>
        <w:szCs w:val="20"/>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0">
    <w:nsid w:val="0000000B"/>
    <w:multiLevelType w:val="multilevel"/>
    <w:tmpl w:val="04070023"/>
    <w:lvl w:ilvl="0">
      <w:start w:val="1"/>
      <w:numFmt w:val="upperRoman"/>
      <w:lvlText w:val="Artikel %1."/>
      <w:lvlJc w:val="left"/>
      <w:pPr>
        <w:tabs>
          <w:tab w:val="left" w:pos="1440"/>
        </w:tabs>
        <w:ind w:left="0" w:firstLine="0"/>
      </w:pPr>
    </w:lvl>
    <w:lvl w:ilvl="1">
      <w:start w:val="1"/>
      <w:numFmt w:val="decimalZero"/>
      <w:isLgl/>
      <w:lvlText w:val="Abschnitt %1.%2"/>
      <w:lvlJc w:val="left"/>
      <w:pPr>
        <w:tabs>
          <w:tab w:val="left" w:pos="1440"/>
        </w:tabs>
        <w:ind w:left="0" w:firstLine="0"/>
      </w:pPr>
    </w:lvl>
    <w:lvl w:ilvl="2">
      <w:start w:val="1"/>
      <w:numFmt w:val="lowerLetter"/>
      <w:lvlText w:val="(%3)"/>
      <w:lvlJc w:val="left"/>
      <w:pPr>
        <w:tabs>
          <w:tab w:val="left" w:pos="720"/>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1">
    <w:nsid w:val="0000000C"/>
    <w:multiLevelType w:val="multilevel"/>
    <w:tmpl w:val="1512D6F0"/>
    <w:lvl w:ilvl="0">
      <w:start w:val="1"/>
      <w:numFmt w:val="bullet"/>
      <w:lvlText w:val=""/>
      <w:lvlJc w:val="left"/>
      <w:pPr>
        <w:tabs>
          <w:tab w:val="left" w:pos="227"/>
        </w:tabs>
        <w:ind w:left="227" w:hanging="227"/>
      </w:pPr>
      <w:rPr>
        <w:rFonts w:ascii="Symbol" w:hAnsi="Symbol" w:hint="default"/>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2">
    <w:nsid w:val="0000000D"/>
    <w:multiLevelType w:val="multilevel"/>
    <w:tmpl w:val="0AF26472"/>
    <w:lvl w:ilvl="0">
      <w:start w:val="1"/>
      <w:numFmt w:val="decimal"/>
      <w:lvlText w:val="%1."/>
      <w:lvlJc w:val="left"/>
      <w:pPr>
        <w:tabs>
          <w:tab w:val="left" w:pos="340"/>
        </w:tabs>
        <w:ind w:left="340" w:hanging="340"/>
      </w:pPr>
      <w:rPr>
        <w:rFonts w:ascii="Times New Roman" w:hAnsi="Times New Roman" w:hint="default"/>
        <w:sz w:val="20"/>
        <w:szCs w:val="20"/>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3">
    <w:nsid w:val="0000000E"/>
    <w:multiLevelType w:val="multilevel"/>
    <w:tmpl w:val="0E5E8046"/>
    <w:lvl w:ilvl="0">
      <w:start w:val="1"/>
      <w:numFmt w:val="decimal"/>
      <w:lvlText w:val="%1."/>
      <w:lvlJc w:val="left"/>
      <w:pPr>
        <w:tabs>
          <w:tab w:val="left" w:pos="340"/>
        </w:tabs>
        <w:ind w:left="340" w:hanging="340"/>
      </w:pPr>
      <w:rPr>
        <w:rFonts w:ascii="Times New Roman" w:hAnsi="Times New Roman" w:hint="default"/>
        <w:sz w:val="20"/>
        <w:szCs w:val="20"/>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nsid w:val="0000000F"/>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suff w:val="space"/>
      <w:lvlText w:val="%2."/>
      <w:lvlJc w:val="left"/>
      <w:pPr>
        <w:ind w:left="340" w:firstLine="0"/>
      </w:pPr>
      <w:rPr>
        <w:rFonts w:hint="default"/>
      </w:rPr>
    </w:lvl>
    <w:lvl w:ilvl="2">
      <w:start w:val="1"/>
      <w:numFmt w:val="lowerRoman"/>
      <w:lvlText w:val="%3)"/>
      <w:lvlJc w:val="left"/>
      <w:pPr>
        <w:tabs>
          <w:tab w:val="left" w:pos="1420"/>
        </w:tabs>
        <w:ind w:left="1420" w:hanging="360"/>
      </w:pPr>
      <w:rPr>
        <w:rFonts w:hint="default"/>
      </w:rPr>
    </w:lvl>
    <w:lvl w:ilvl="3">
      <w:start w:val="1"/>
      <w:numFmt w:val="decimal"/>
      <w:lvlText w:val="(%4)"/>
      <w:lvlJc w:val="left"/>
      <w:pPr>
        <w:tabs>
          <w:tab w:val="left" w:pos="1780"/>
        </w:tabs>
        <w:ind w:left="1780" w:hanging="360"/>
      </w:pPr>
      <w:rPr>
        <w:rFonts w:hint="default"/>
      </w:rPr>
    </w:lvl>
    <w:lvl w:ilvl="4">
      <w:start w:val="1"/>
      <w:numFmt w:val="lowerLetter"/>
      <w:lvlText w:val="(%5)"/>
      <w:lvlJc w:val="left"/>
      <w:pPr>
        <w:tabs>
          <w:tab w:val="left" w:pos="2140"/>
        </w:tabs>
        <w:ind w:left="2140" w:hanging="360"/>
      </w:pPr>
      <w:rPr>
        <w:rFonts w:hint="default"/>
      </w:rPr>
    </w:lvl>
    <w:lvl w:ilvl="5">
      <w:start w:val="1"/>
      <w:numFmt w:val="lowerRoman"/>
      <w:lvlText w:val="(%6)"/>
      <w:lvlJc w:val="left"/>
      <w:pPr>
        <w:tabs>
          <w:tab w:val="left" w:pos="2500"/>
        </w:tabs>
        <w:ind w:left="2500" w:hanging="360"/>
      </w:pPr>
      <w:rPr>
        <w:rFonts w:hint="default"/>
      </w:rPr>
    </w:lvl>
    <w:lvl w:ilvl="6">
      <w:start w:val="1"/>
      <w:numFmt w:val="decimal"/>
      <w:lvlText w:val="%7."/>
      <w:lvlJc w:val="left"/>
      <w:pPr>
        <w:tabs>
          <w:tab w:val="left" w:pos="2860"/>
        </w:tabs>
        <w:ind w:left="2860" w:hanging="360"/>
      </w:pPr>
      <w:rPr>
        <w:rFonts w:hint="default"/>
      </w:rPr>
    </w:lvl>
    <w:lvl w:ilvl="7">
      <w:start w:val="1"/>
      <w:numFmt w:val="lowerLetter"/>
      <w:lvlText w:val="%8."/>
      <w:lvlJc w:val="left"/>
      <w:pPr>
        <w:tabs>
          <w:tab w:val="left" w:pos="3220"/>
        </w:tabs>
        <w:ind w:left="3220" w:hanging="360"/>
      </w:pPr>
      <w:rPr>
        <w:rFonts w:hint="default"/>
      </w:rPr>
    </w:lvl>
    <w:lvl w:ilvl="8">
      <w:start w:val="1"/>
      <w:numFmt w:val="lowerRoman"/>
      <w:lvlText w:val="%9."/>
      <w:lvlJc w:val="left"/>
      <w:pPr>
        <w:tabs>
          <w:tab w:val="left" w:pos="3580"/>
        </w:tabs>
        <w:ind w:left="3580" w:hanging="360"/>
      </w:pPr>
      <w:rPr>
        <w:rFonts w:hint="default"/>
      </w:rPr>
    </w:lvl>
  </w:abstractNum>
  <w:abstractNum w:abstractNumId="15">
    <w:nsid w:val="0000001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left" w:pos="1420"/>
        </w:tabs>
        <w:ind w:left="1420" w:hanging="360"/>
      </w:pPr>
      <w:rPr>
        <w:rFonts w:hint="default"/>
      </w:rPr>
    </w:lvl>
    <w:lvl w:ilvl="3">
      <w:start w:val="1"/>
      <w:numFmt w:val="decimal"/>
      <w:lvlText w:val="(%4)"/>
      <w:lvlJc w:val="left"/>
      <w:pPr>
        <w:tabs>
          <w:tab w:val="left" w:pos="1780"/>
        </w:tabs>
        <w:ind w:left="1780" w:hanging="360"/>
      </w:pPr>
      <w:rPr>
        <w:rFonts w:hint="default"/>
      </w:rPr>
    </w:lvl>
    <w:lvl w:ilvl="4">
      <w:start w:val="1"/>
      <w:numFmt w:val="lowerLetter"/>
      <w:lvlText w:val="(%5)"/>
      <w:lvlJc w:val="left"/>
      <w:pPr>
        <w:tabs>
          <w:tab w:val="left" w:pos="2140"/>
        </w:tabs>
        <w:ind w:left="2140" w:hanging="360"/>
      </w:pPr>
      <w:rPr>
        <w:rFonts w:hint="default"/>
      </w:rPr>
    </w:lvl>
    <w:lvl w:ilvl="5">
      <w:start w:val="1"/>
      <w:numFmt w:val="lowerRoman"/>
      <w:lvlText w:val="(%6)"/>
      <w:lvlJc w:val="left"/>
      <w:pPr>
        <w:tabs>
          <w:tab w:val="left" w:pos="2500"/>
        </w:tabs>
        <w:ind w:left="2500" w:hanging="360"/>
      </w:pPr>
      <w:rPr>
        <w:rFonts w:hint="default"/>
      </w:rPr>
    </w:lvl>
    <w:lvl w:ilvl="6">
      <w:start w:val="1"/>
      <w:numFmt w:val="decimal"/>
      <w:lvlText w:val="%7."/>
      <w:lvlJc w:val="left"/>
      <w:pPr>
        <w:tabs>
          <w:tab w:val="left" w:pos="2860"/>
        </w:tabs>
        <w:ind w:left="2860" w:hanging="360"/>
      </w:pPr>
      <w:rPr>
        <w:rFonts w:hint="default"/>
      </w:rPr>
    </w:lvl>
    <w:lvl w:ilvl="7">
      <w:start w:val="1"/>
      <w:numFmt w:val="lowerLetter"/>
      <w:lvlText w:val="%8."/>
      <w:lvlJc w:val="left"/>
      <w:pPr>
        <w:tabs>
          <w:tab w:val="left" w:pos="3220"/>
        </w:tabs>
        <w:ind w:left="3220" w:hanging="360"/>
      </w:pPr>
      <w:rPr>
        <w:rFonts w:hint="default"/>
      </w:rPr>
    </w:lvl>
    <w:lvl w:ilvl="8">
      <w:start w:val="1"/>
      <w:numFmt w:val="lowerRoman"/>
      <w:lvlText w:val="%9."/>
      <w:lvlJc w:val="left"/>
      <w:pPr>
        <w:tabs>
          <w:tab w:val="left" w:pos="3580"/>
        </w:tabs>
        <w:ind w:left="3580" w:hanging="360"/>
      </w:pPr>
      <w:rPr>
        <w:rFonts w:hint="default"/>
      </w:rPr>
    </w:lvl>
  </w:abstractNum>
  <w:abstractNum w:abstractNumId="16">
    <w:nsid w:val="00000011"/>
    <w:multiLevelType w:val="hybridMultilevel"/>
    <w:tmpl w:val="5C8A8F40"/>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0000012"/>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8">
    <w:nsid w:val="00000013"/>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left" w:pos="1420"/>
        </w:tabs>
        <w:ind w:left="1420" w:hanging="360"/>
      </w:pPr>
      <w:rPr>
        <w:rFonts w:hint="default"/>
      </w:rPr>
    </w:lvl>
    <w:lvl w:ilvl="3">
      <w:start w:val="1"/>
      <w:numFmt w:val="decimal"/>
      <w:lvlText w:val="(%4)"/>
      <w:lvlJc w:val="left"/>
      <w:pPr>
        <w:tabs>
          <w:tab w:val="left" w:pos="1780"/>
        </w:tabs>
        <w:ind w:left="1780" w:hanging="360"/>
      </w:pPr>
      <w:rPr>
        <w:rFonts w:hint="default"/>
      </w:rPr>
    </w:lvl>
    <w:lvl w:ilvl="4">
      <w:start w:val="1"/>
      <w:numFmt w:val="lowerLetter"/>
      <w:lvlText w:val="(%5)"/>
      <w:lvlJc w:val="left"/>
      <w:pPr>
        <w:tabs>
          <w:tab w:val="left" w:pos="2140"/>
        </w:tabs>
        <w:ind w:left="2140" w:hanging="360"/>
      </w:pPr>
      <w:rPr>
        <w:rFonts w:hint="default"/>
      </w:rPr>
    </w:lvl>
    <w:lvl w:ilvl="5">
      <w:start w:val="1"/>
      <w:numFmt w:val="lowerRoman"/>
      <w:lvlText w:val="(%6)"/>
      <w:lvlJc w:val="left"/>
      <w:pPr>
        <w:tabs>
          <w:tab w:val="left" w:pos="2500"/>
        </w:tabs>
        <w:ind w:left="2500" w:hanging="360"/>
      </w:pPr>
      <w:rPr>
        <w:rFonts w:hint="default"/>
      </w:rPr>
    </w:lvl>
    <w:lvl w:ilvl="6">
      <w:start w:val="1"/>
      <w:numFmt w:val="decimal"/>
      <w:lvlText w:val="%7."/>
      <w:lvlJc w:val="left"/>
      <w:pPr>
        <w:tabs>
          <w:tab w:val="left" w:pos="2860"/>
        </w:tabs>
        <w:ind w:left="2860" w:hanging="360"/>
      </w:pPr>
      <w:rPr>
        <w:rFonts w:hint="default"/>
      </w:rPr>
    </w:lvl>
    <w:lvl w:ilvl="7">
      <w:start w:val="1"/>
      <w:numFmt w:val="lowerLetter"/>
      <w:lvlText w:val="%8."/>
      <w:lvlJc w:val="left"/>
      <w:pPr>
        <w:tabs>
          <w:tab w:val="left" w:pos="3220"/>
        </w:tabs>
        <w:ind w:left="3220" w:hanging="360"/>
      </w:pPr>
      <w:rPr>
        <w:rFonts w:hint="default"/>
      </w:rPr>
    </w:lvl>
    <w:lvl w:ilvl="8">
      <w:start w:val="1"/>
      <w:numFmt w:val="lowerRoman"/>
      <w:lvlText w:val="%9."/>
      <w:lvlJc w:val="left"/>
      <w:pPr>
        <w:tabs>
          <w:tab w:val="left" w:pos="3580"/>
        </w:tabs>
        <w:ind w:left="3580" w:hanging="360"/>
      </w:pPr>
      <w:rPr>
        <w:rFonts w:hint="default"/>
      </w:rPr>
    </w:lvl>
  </w:abstractNum>
  <w:abstractNum w:abstractNumId="19">
    <w:nsid w:val="00000014"/>
    <w:multiLevelType w:val="multilevel"/>
    <w:tmpl w:val="90F23324"/>
    <w:lvl w:ilvl="0">
      <w:start w:val="1"/>
      <w:numFmt w:val="upperRoman"/>
      <w:lvlText w:val="%1)"/>
      <w:lvlJc w:val="center"/>
      <w:pPr>
        <w:tabs>
          <w:tab w:val="left" w:pos="700"/>
        </w:tabs>
        <w:ind w:left="700" w:hanging="72"/>
      </w:pPr>
      <w:rPr>
        <w:rFonts w:hint="default"/>
      </w:rPr>
    </w:lvl>
    <w:lvl w:ilvl="1">
      <w:start w:val="1"/>
      <w:numFmt w:val="upperLetter"/>
      <w:lvlText w:val="%2)"/>
      <w:lvlJc w:val="left"/>
      <w:pPr>
        <w:tabs>
          <w:tab w:val="left" w:pos="1060"/>
        </w:tabs>
        <w:ind w:left="1060" w:hanging="360"/>
      </w:pPr>
      <w:rPr>
        <w:rFonts w:hint="default"/>
      </w:rPr>
    </w:lvl>
    <w:lvl w:ilvl="2">
      <w:start w:val="1"/>
      <w:numFmt w:val="lowerRoman"/>
      <w:lvlText w:val="%3)"/>
      <w:lvlJc w:val="left"/>
      <w:pPr>
        <w:tabs>
          <w:tab w:val="left" w:pos="1420"/>
        </w:tabs>
        <w:ind w:left="1420" w:hanging="360"/>
      </w:pPr>
      <w:rPr>
        <w:rFonts w:hint="default"/>
      </w:rPr>
    </w:lvl>
    <w:lvl w:ilvl="3">
      <w:start w:val="1"/>
      <w:numFmt w:val="decimal"/>
      <w:lvlText w:val="(%4)"/>
      <w:lvlJc w:val="left"/>
      <w:pPr>
        <w:tabs>
          <w:tab w:val="left" w:pos="1780"/>
        </w:tabs>
        <w:ind w:left="1780" w:hanging="360"/>
      </w:pPr>
      <w:rPr>
        <w:rFonts w:hint="default"/>
      </w:rPr>
    </w:lvl>
    <w:lvl w:ilvl="4">
      <w:start w:val="1"/>
      <w:numFmt w:val="lowerLetter"/>
      <w:lvlText w:val="(%5)"/>
      <w:lvlJc w:val="left"/>
      <w:pPr>
        <w:tabs>
          <w:tab w:val="left" w:pos="2140"/>
        </w:tabs>
        <w:ind w:left="2140" w:hanging="360"/>
      </w:pPr>
      <w:rPr>
        <w:rFonts w:hint="default"/>
      </w:rPr>
    </w:lvl>
    <w:lvl w:ilvl="5">
      <w:start w:val="1"/>
      <w:numFmt w:val="lowerRoman"/>
      <w:lvlText w:val="(%6)"/>
      <w:lvlJc w:val="left"/>
      <w:pPr>
        <w:tabs>
          <w:tab w:val="left" w:pos="2500"/>
        </w:tabs>
        <w:ind w:left="2500" w:hanging="360"/>
      </w:pPr>
      <w:rPr>
        <w:rFonts w:hint="default"/>
      </w:rPr>
    </w:lvl>
    <w:lvl w:ilvl="6">
      <w:start w:val="1"/>
      <w:numFmt w:val="decimal"/>
      <w:lvlText w:val="%7."/>
      <w:lvlJc w:val="left"/>
      <w:pPr>
        <w:tabs>
          <w:tab w:val="left" w:pos="2860"/>
        </w:tabs>
        <w:ind w:left="2860" w:hanging="360"/>
      </w:pPr>
      <w:rPr>
        <w:rFonts w:hint="default"/>
      </w:rPr>
    </w:lvl>
    <w:lvl w:ilvl="7">
      <w:start w:val="1"/>
      <w:numFmt w:val="lowerLetter"/>
      <w:lvlText w:val="%8."/>
      <w:lvlJc w:val="left"/>
      <w:pPr>
        <w:tabs>
          <w:tab w:val="left" w:pos="3220"/>
        </w:tabs>
        <w:ind w:left="3220" w:hanging="360"/>
      </w:pPr>
      <w:rPr>
        <w:rFonts w:hint="default"/>
      </w:rPr>
    </w:lvl>
    <w:lvl w:ilvl="8">
      <w:start w:val="1"/>
      <w:numFmt w:val="lowerRoman"/>
      <w:lvlText w:val="%9."/>
      <w:lvlJc w:val="left"/>
      <w:pPr>
        <w:tabs>
          <w:tab w:val="left" w:pos="3580"/>
        </w:tabs>
        <w:ind w:left="3580" w:hanging="360"/>
      </w:pPr>
      <w:rPr>
        <w:rFonts w:hint="default"/>
      </w:rPr>
    </w:lvl>
  </w:abstractNum>
  <w:abstractNum w:abstractNumId="20">
    <w:nsid w:val="00000015"/>
    <w:multiLevelType w:val="multilevel"/>
    <w:tmpl w:val="0407001F"/>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21">
    <w:nsid w:val="00000016"/>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2">
    <w:nsid w:val="00000017"/>
    <w:multiLevelType w:val="multilevel"/>
    <w:tmpl w:val="0AF26472"/>
    <w:lvl w:ilvl="0">
      <w:start w:val="1"/>
      <w:numFmt w:val="decimal"/>
      <w:lvlText w:val="%1."/>
      <w:lvlJc w:val="left"/>
      <w:pPr>
        <w:tabs>
          <w:tab w:val="left" w:pos="340"/>
        </w:tabs>
        <w:ind w:left="340" w:hanging="340"/>
      </w:pPr>
      <w:rPr>
        <w:rFonts w:ascii="Times New Roman" w:hAnsi="Times New Roman" w:hint="default"/>
        <w:sz w:val="20"/>
        <w:szCs w:val="20"/>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3">
    <w:nsid w:val="00000018"/>
    <w:multiLevelType w:val="singleLevel"/>
    <w:tmpl w:val="74FC88DC"/>
    <w:lvl w:ilvl="0">
      <w:start w:val="1"/>
      <w:numFmt w:val="decimal"/>
      <w:lvlText w:val="%1."/>
      <w:lvlJc w:val="left"/>
      <w:pPr>
        <w:tabs>
          <w:tab w:val="left" w:pos="340"/>
        </w:tabs>
        <w:ind w:left="340" w:hanging="340"/>
      </w:pPr>
      <w:rPr>
        <w:rFonts w:hint="default"/>
      </w:rPr>
    </w:lvl>
  </w:abstractNum>
  <w:abstractNum w:abstractNumId="24">
    <w:nsid w:val="00000019"/>
    <w:multiLevelType w:val="multilevel"/>
    <w:tmpl w:val="0407001D"/>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5">
    <w:nsid w:val="0000001A"/>
    <w:multiLevelType w:val="multilevel"/>
    <w:tmpl w:val="0972CC8A"/>
    <w:lvl w:ilvl="0">
      <w:start w:val="1"/>
      <w:numFmt w:val="bullet"/>
      <w:lvlText w:val=""/>
      <w:lvlJc w:val="left"/>
      <w:pPr>
        <w:tabs>
          <w:tab w:val="left" w:pos="340"/>
        </w:tabs>
        <w:ind w:left="340" w:hanging="340"/>
      </w:pPr>
      <w:rPr>
        <w:rFonts w:ascii="Symbol" w:hAnsi="Symbol"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nsid w:val="0000001B"/>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left" w:pos="1420"/>
        </w:tabs>
        <w:ind w:left="1420" w:hanging="360"/>
      </w:pPr>
      <w:rPr>
        <w:rFonts w:hint="default"/>
      </w:rPr>
    </w:lvl>
    <w:lvl w:ilvl="3">
      <w:start w:val="1"/>
      <w:numFmt w:val="decimal"/>
      <w:lvlText w:val="(%4)"/>
      <w:lvlJc w:val="left"/>
      <w:pPr>
        <w:tabs>
          <w:tab w:val="left" w:pos="1780"/>
        </w:tabs>
        <w:ind w:left="1780" w:hanging="360"/>
      </w:pPr>
      <w:rPr>
        <w:rFonts w:hint="default"/>
      </w:rPr>
    </w:lvl>
    <w:lvl w:ilvl="4">
      <w:start w:val="1"/>
      <w:numFmt w:val="lowerLetter"/>
      <w:lvlText w:val="(%5)"/>
      <w:lvlJc w:val="left"/>
      <w:pPr>
        <w:tabs>
          <w:tab w:val="left" w:pos="2140"/>
        </w:tabs>
        <w:ind w:left="2140" w:hanging="360"/>
      </w:pPr>
      <w:rPr>
        <w:rFonts w:hint="default"/>
      </w:rPr>
    </w:lvl>
    <w:lvl w:ilvl="5">
      <w:start w:val="1"/>
      <w:numFmt w:val="lowerRoman"/>
      <w:lvlText w:val="(%6)"/>
      <w:lvlJc w:val="left"/>
      <w:pPr>
        <w:tabs>
          <w:tab w:val="left" w:pos="2500"/>
        </w:tabs>
        <w:ind w:left="2500" w:hanging="360"/>
      </w:pPr>
      <w:rPr>
        <w:rFonts w:hint="default"/>
      </w:rPr>
    </w:lvl>
    <w:lvl w:ilvl="6">
      <w:start w:val="1"/>
      <w:numFmt w:val="decimal"/>
      <w:lvlText w:val="%7."/>
      <w:lvlJc w:val="left"/>
      <w:pPr>
        <w:tabs>
          <w:tab w:val="left" w:pos="2860"/>
        </w:tabs>
        <w:ind w:left="2860" w:hanging="360"/>
      </w:pPr>
      <w:rPr>
        <w:rFonts w:hint="default"/>
      </w:rPr>
    </w:lvl>
    <w:lvl w:ilvl="7">
      <w:start w:val="1"/>
      <w:numFmt w:val="lowerLetter"/>
      <w:lvlText w:val="%8."/>
      <w:lvlJc w:val="left"/>
      <w:pPr>
        <w:tabs>
          <w:tab w:val="left" w:pos="3220"/>
        </w:tabs>
        <w:ind w:left="3220" w:hanging="360"/>
      </w:pPr>
      <w:rPr>
        <w:rFonts w:hint="default"/>
      </w:rPr>
    </w:lvl>
    <w:lvl w:ilvl="8">
      <w:start w:val="1"/>
      <w:numFmt w:val="lowerRoman"/>
      <w:lvlText w:val="%9."/>
      <w:lvlJc w:val="left"/>
      <w:pPr>
        <w:tabs>
          <w:tab w:val="left" w:pos="3580"/>
        </w:tabs>
        <w:ind w:left="3580" w:hanging="360"/>
      </w:pPr>
      <w:rPr>
        <w:rFonts w:hint="default"/>
      </w:rPr>
    </w:lvl>
  </w:abstractNum>
  <w:abstractNum w:abstractNumId="27">
    <w:nsid w:val="0000001C"/>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left" w:pos="1420"/>
        </w:tabs>
        <w:ind w:left="1420" w:hanging="360"/>
      </w:pPr>
      <w:rPr>
        <w:rFonts w:hint="default"/>
      </w:rPr>
    </w:lvl>
    <w:lvl w:ilvl="3">
      <w:start w:val="1"/>
      <w:numFmt w:val="decimal"/>
      <w:lvlText w:val="(%4)"/>
      <w:lvlJc w:val="left"/>
      <w:pPr>
        <w:tabs>
          <w:tab w:val="left" w:pos="1780"/>
        </w:tabs>
        <w:ind w:left="1780" w:hanging="360"/>
      </w:pPr>
      <w:rPr>
        <w:rFonts w:hint="default"/>
      </w:rPr>
    </w:lvl>
    <w:lvl w:ilvl="4">
      <w:start w:val="1"/>
      <w:numFmt w:val="lowerLetter"/>
      <w:lvlText w:val="(%5)"/>
      <w:lvlJc w:val="left"/>
      <w:pPr>
        <w:tabs>
          <w:tab w:val="left" w:pos="2140"/>
        </w:tabs>
        <w:ind w:left="2140" w:hanging="360"/>
      </w:pPr>
      <w:rPr>
        <w:rFonts w:hint="default"/>
      </w:rPr>
    </w:lvl>
    <w:lvl w:ilvl="5">
      <w:start w:val="1"/>
      <w:numFmt w:val="lowerRoman"/>
      <w:lvlText w:val="(%6)"/>
      <w:lvlJc w:val="left"/>
      <w:pPr>
        <w:tabs>
          <w:tab w:val="left" w:pos="2500"/>
        </w:tabs>
        <w:ind w:left="2500" w:hanging="360"/>
      </w:pPr>
      <w:rPr>
        <w:rFonts w:hint="default"/>
      </w:rPr>
    </w:lvl>
    <w:lvl w:ilvl="6">
      <w:start w:val="1"/>
      <w:numFmt w:val="decimal"/>
      <w:lvlText w:val="%7."/>
      <w:lvlJc w:val="left"/>
      <w:pPr>
        <w:tabs>
          <w:tab w:val="left" w:pos="2860"/>
        </w:tabs>
        <w:ind w:left="2860" w:hanging="360"/>
      </w:pPr>
      <w:rPr>
        <w:rFonts w:hint="default"/>
      </w:rPr>
    </w:lvl>
    <w:lvl w:ilvl="7">
      <w:start w:val="1"/>
      <w:numFmt w:val="lowerLetter"/>
      <w:lvlText w:val="%8."/>
      <w:lvlJc w:val="left"/>
      <w:pPr>
        <w:tabs>
          <w:tab w:val="left" w:pos="3220"/>
        </w:tabs>
        <w:ind w:left="3220" w:hanging="360"/>
      </w:pPr>
      <w:rPr>
        <w:rFonts w:hint="default"/>
      </w:rPr>
    </w:lvl>
    <w:lvl w:ilvl="8">
      <w:start w:val="1"/>
      <w:numFmt w:val="lowerRoman"/>
      <w:lvlText w:val="%9."/>
      <w:lvlJc w:val="left"/>
      <w:pPr>
        <w:tabs>
          <w:tab w:val="left" w:pos="3580"/>
        </w:tabs>
        <w:ind w:left="3580" w:hanging="360"/>
      </w:pPr>
      <w:rPr>
        <w:rFonts w:hint="default"/>
      </w:rPr>
    </w:lvl>
  </w:abstractNum>
  <w:abstractNum w:abstractNumId="28">
    <w:nsid w:val="0000001D"/>
    <w:multiLevelType w:val="hybridMultilevel"/>
    <w:tmpl w:val="3FF05840"/>
    <w:lvl w:ilvl="0" w:tplc="AEC0A2EC">
      <w:start w:val="1"/>
      <w:numFmt w:val="bullet"/>
      <w:lvlText w:val="-"/>
      <w:lvlJc w:val="left"/>
      <w:pPr>
        <w:tabs>
          <w:tab w:val="left" w:pos="1701"/>
        </w:tabs>
        <w:ind w:left="1701" w:hanging="283"/>
      </w:pPr>
      <w:rPr>
        <w:rFonts w:ascii="Times New Roman" w:hAnsi="Times New Roman" w:cs="Times New Roman" w:hint="default"/>
      </w:rPr>
    </w:lvl>
    <w:lvl w:ilvl="1" w:tplc="BE66E2C4">
      <w:start w:val="1"/>
      <w:numFmt w:val="bullet"/>
      <w:lvlText w:val="-"/>
      <w:lvlJc w:val="left"/>
      <w:pPr>
        <w:tabs>
          <w:tab w:val="left" w:pos="1363"/>
        </w:tabs>
        <w:ind w:left="1363" w:hanging="283"/>
      </w:pPr>
      <w:rPr>
        <w:rFonts w:ascii="Times New Roman" w:hAnsi="Times New Roman" w:cs="Times New Roman" w:hint="default"/>
      </w:rPr>
    </w:lvl>
    <w:lvl w:ilvl="2" w:tplc="1C1CD0D2">
      <w:start w:val="1"/>
      <w:numFmt w:val="bullet"/>
      <w:lvlText w:val=""/>
      <w:lvlJc w:val="left"/>
      <w:pPr>
        <w:tabs>
          <w:tab w:val="left" w:pos="2160"/>
        </w:tabs>
        <w:ind w:left="2160" w:hanging="360"/>
      </w:pPr>
      <w:rPr>
        <w:rFonts w:ascii="Wingdings" w:hAnsi="Wingdings" w:hint="default"/>
      </w:rPr>
    </w:lvl>
    <w:lvl w:ilvl="3" w:tplc="ACD2AA1C" w:tentative="1">
      <w:start w:val="1"/>
      <w:numFmt w:val="bullet"/>
      <w:lvlText w:val=""/>
      <w:lvlJc w:val="left"/>
      <w:pPr>
        <w:tabs>
          <w:tab w:val="left" w:pos="2880"/>
        </w:tabs>
        <w:ind w:left="2880" w:hanging="360"/>
      </w:pPr>
      <w:rPr>
        <w:rFonts w:ascii="Symbol" w:hAnsi="Symbol" w:hint="default"/>
      </w:rPr>
    </w:lvl>
    <w:lvl w:ilvl="4" w:tplc="9746F546" w:tentative="1">
      <w:start w:val="1"/>
      <w:numFmt w:val="bullet"/>
      <w:lvlText w:val="o"/>
      <w:lvlJc w:val="left"/>
      <w:pPr>
        <w:tabs>
          <w:tab w:val="left" w:pos="3600"/>
        </w:tabs>
        <w:ind w:left="3600" w:hanging="360"/>
      </w:pPr>
      <w:rPr>
        <w:rFonts w:ascii="Courier New" w:hAnsi="Courier New" w:cs="Courier New" w:hint="default"/>
      </w:rPr>
    </w:lvl>
    <w:lvl w:ilvl="5" w:tplc="2E805854" w:tentative="1">
      <w:start w:val="1"/>
      <w:numFmt w:val="bullet"/>
      <w:lvlText w:val=""/>
      <w:lvlJc w:val="left"/>
      <w:pPr>
        <w:tabs>
          <w:tab w:val="left" w:pos="4320"/>
        </w:tabs>
        <w:ind w:left="4320" w:hanging="360"/>
      </w:pPr>
      <w:rPr>
        <w:rFonts w:ascii="Wingdings" w:hAnsi="Wingdings" w:hint="default"/>
      </w:rPr>
    </w:lvl>
    <w:lvl w:ilvl="6" w:tplc="19D8D81A" w:tentative="1">
      <w:start w:val="1"/>
      <w:numFmt w:val="bullet"/>
      <w:lvlText w:val=""/>
      <w:lvlJc w:val="left"/>
      <w:pPr>
        <w:tabs>
          <w:tab w:val="left" w:pos="5040"/>
        </w:tabs>
        <w:ind w:left="5040" w:hanging="360"/>
      </w:pPr>
      <w:rPr>
        <w:rFonts w:ascii="Symbol" w:hAnsi="Symbol" w:hint="default"/>
      </w:rPr>
    </w:lvl>
    <w:lvl w:ilvl="7" w:tplc="F7E6BB4A" w:tentative="1">
      <w:start w:val="1"/>
      <w:numFmt w:val="bullet"/>
      <w:lvlText w:val="o"/>
      <w:lvlJc w:val="left"/>
      <w:pPr>
        <w:tabs>
          <w:tab w:val="left" w:pos="5760"/>
        </w:tabs>
        <w:ind w:left="5760" w:hanging="360"/>
      </w:pPr>
      <w:rPr>
        <w:rFonts w:ascii="Courier New" w:hAnsi="Courier New" w:cs="Courier New" w:hint="default"/>
      </w:rPr>
    </w:lvl>
    <w:lvl w:ilvl="8" w:tplc="BFDCF44A" w:tentative="1">
      <w:start w:val="1"/>
      <w:numFmt w:val="bullet"/>
      <w:lvlText w:val=""/>
      <w:lvlJc w:val="left"/>
      <w:pPr>
        <w:tabs>
          <w:tab w:val="left" w:pos="6480"/>
        </w:tabs>
        <w:ind w:left="6480" w:hanging="360"/>
      </w:pPr>
      <w:rPr>
        <w:rFonts w:ascii="Wingdings" w:hAnsi="Wingdings" w:hint="default"/>
      </w:rPr>
    </w:lvl>
  </w:abstractNum>
  <w:abstractNum w:abstractNumId="29">
    <w:nsid w:val="0000001E"/>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left" w:pos="1420"/>
        </w:tabs>
        <w:ind w:left="1420" w:hanging="360"/>
      </w:pPr>
      <w:rPr>
        <w:rFonts w:hint="default"/>
      </w:rPr>
    </w:lvl>
    <w:lvl w:ilvl="3">
      <w:start w:val="1"/>
      <w:numFmt w:val="decimal"/>
      <w:lvlText w:val="(%4)"/>
      <w:lvlJc w:val="left"/>
      <w:pPr>
        <w:tabs>
          <w:tab w:val="left" w:pos="1780"/>
        </w:tabs>
        <w:ind w:left="1780" w:hanging="360"/>
      </w:pPr>
      <w:rPr>
        <w:rFonts w:hint="default"/>
      </w:rPr>
    </w:lvl>
    <w:lvl w:ilvl="4">
      <w:start w:val="1"/>
      <w:numFmt w:val="lowerLetter"/>
      <w:lvlText w:val="(%5)"/>
      <w:lvlJc w:val="left"/>
      <w:pPr>
        <w:tabs>
          <w:tab w:val="left" w:pos="2140"/>
        </w:tabs>
        <w:ind w:left="2140" w:hanging="360"/>
      </w:pPr>
      <w:rPr>
        <w:rFonts w:hint="default"/>
      </w:rPr>
    </w:lvl>
    <w:lvl w:ilvl="5">
      <w:start w:val="1"/>
      <w:numFmt w:val="lowerRoman"/>
      <w:lvlText w:val="(%6)"/>
      <w:lvlJc w:val="left"/>
      <w:pPr>
        <w:tabs>
          <w:tab w:val="left" w:pos="2500"/>
        </w:tabs>
        <w:ind w:left="2500" w:hanging="360"/>
      </w:pPr>
      <w:rPr>
        <w:rFonts w:hint="default"/>
      </w:rPr>
    </w:lvl>
    <w:lvl w:ilvl="6">
      <w:start w:val="1"/>
      <w:numFmt w:val="decimal"/>
      <w:lvlText w:val="%7."/>
      <w:lvlJc w:val="left"/>
      <w:pPr>
        <w:tabs>
          <w:tab w:val="left" w:pos="2860"/>
        </w:tabs>
        <w:ind w:left="2860" w:hanging="360"/>
      </w:pPr>
      <w:rPr>
        <w:rFonts w:hint="default"/>
      </w:rPr>
    </w:lvl>
    <w:lvl w:ilvl="7">
      <w:start w:val="1"/>
      <w:numFmt w:val="lowerLetter"/>
      <w:lvlText w:val="%8."/>
      <w:lvlJc w:val="left"/>
      <w:pPr>
        <w:tabs>
          <w:tab w:val="left" w:pos="3220"/>
        </w:tabs>
        <w:ind w:left="3220" w:hanging="360"/>
      </w:pPr>
      <w:rPr>
        <w:rFonts w:hint="default"/>
      </w:rPr>
    </w:lvl>
    <w:lvl w:ilvl="8">
      <w:start w:val="1"/>
      <w:numFmt w:val="lowerRoman"/>
      <w:lvlText w:val="%9."/>
      <w:lvlJc w:val="left"/>
      <w:pPr>
        <w:tabs>
          <w:tab w:val="left" w:pos="3580"/>
        </w:tabs>
        <w:ind w:left="3580" w:hanging="360"/>
      </w:pPr>
      <w:rPr>
        <w:rFonts w:hint="default"/>
      </w:rPr>
    </w:lvl>
  </w:abstractNum>
  <w:abstractNum w:abstractNumId="30">
    <w:nsid w:val="0000001F"/>
    <w:multiLevelType w:val="hybridMultilevel"/>
    <w:tmpl w:val="FC5CD7FA"/>
    <w:lvl w:ilvl="0" w:tplc="D2D61408">
      <w:start w:val="1"/>
      <w:numFmt w:val="bullet"/>
      <w:lvlText w:val="-"/>
      <w:lvlJc w:val="left"/>
      <w:pPr>
        <w:tabs>
          <w:tab w:val="left" w:pos="1701"/>
        </w:tabs>
        <w:ind w:left="1701" w:hanging="283"/>
      </w:pPr>
      <w:rPr>
        <w:rFonts w:ascii="Times New Roman" w:hAnsi="Times New Roman" w:cs="Times New Roman" w:hint="default"/>
      </w:rPr>
    </w:lvl>
    <w:lvl w:ilvl="1" w:tplc="E904C356" w:tentative="1">
      <w:start w:val="1"/>
      <w:numFmt w:val="bullet"/>
      <w:lvlText w:val="o"/>
      <w:lvlJc w:val="left"/>
      <w:pPr>
        <w:tabs>
          <w:tab w:val="left" w:pos="1440"/>
        </w:tabs>
        <w:ind w:left="1440" w:hanging="360"/>
      </w:pPr>
      <w:rPr>
        <w:rFonts w:ascii="Courier New" w:hAnsi="Courier New" w:cs="Courier New" w:hint="default"/>
      </w:rPr>
    </w:lvl>
    <w:lvl w:ilvl="2" w:tplc="313651BC">
      <w:start w:val="1"/>
      <w:numFmt w:val="bullet"/>
      <w:lvlText w:val=""/>
      <w:lvlJc w:val="left"/>
      <w:pPr>
        <w:tabs>
          <w:tab w:val="left" w:pos="2160"/>
        </w:tabs>
        <w:ind w:left="2160" w:hanging="360"/>
      </w:pPr>
      <w:rPr>
        <w:rFonts w:ascii="Wingdings" w:hAnsi="Wingdings" w:hint="default"/>
      </w:rPr>
    </w:lvl>
    <w:lvl w:ilvl="3" w:tplc="F0DA6006" w:tentative="1">
      <w:start w:val="1"/>
      <w:numFmt w:val="bullet"/>
      <w:lvlText w:val=""/>
      <w:lvlJc w:val="left"/>
      <w:pPr>
        <w:tabs>
          <w:tab w:val="left" w:pos="2880"/>
        </w:tabs>
        <w:ind w:left="2880" w:hanging="360"/>
      </w:pPr>
      <w:rPr>
        <w:rFonts w:ascii="Symbol" w:hAnsi="Symbol" w:hint="default"/>
      </w:rPr>
    </w:lvl>
    <w:lvl w:ilvl="4" w:tplc="3FC840E8" w:tentative="1">
      <w:start w:val="1"/>
      <w:numFmt w:val="bullet"/>
      <w:lvlText w:val="o"/>
      <w:lvlJc w:val="left"/>
      <w:pPr>
        <w:tabs>
          <w:tab w:val="left" w:pos="3600"/>
        </w:tabs>
        <w:ind w:left="3600" w:hanging="360"/>
      </w:pPr>
      <w:rPr>
        <w:rFonts w:ascii="Courier New" w:hAnsi="Courier New" w:cs="Courier New" w:hint="default"/>
      </w:rPr>
    </w:lvl>
    <w:lvl w:ilvl="5" w:tplc="5D1C5D60" w:tentative="1">
      <w:start w:val="1"/>
      <w:numFmt w:val="bullet"/>
      <w:lvlText w:val=""/>
      <w:lvlJc w:val="left"/>
      <w:pPr>
        <w:tabs>
          <w:tab w:val="left" w:pos="4320"/>
        </w:tabs>
        <w:ind w:left="4320" w:hanging="360"/>
      </w:pPr>
      <w:rPr>
        <w:rFonts w:ascii="Wingdings" w:hAnsi="Wingdings" w:hint="default"/>
      </w:rPr>
    </w:lvl>
    <w:lvl w:ilvl="6" w:tplc="A100F280" w:tentative="1">
      <w:start w:val="1"/>
      <w:numFmt w:val="bullet"/>
      <w:lvlText w:val=""/>
      <w:lvlJc w:val="left"/>
      <w:pPr>
        <w:tabs>
          <w:tab w:val="left" w:pos="5040"/>
        </w:tabs>
        <w:ind w:left="5040" w:hanging="360"/>
      </w:pPr>
      <w:rPr>
        <w:rFonts w:ascii="Symbol" w:hAnsi="Symbol" w:hint="default"/>
      </w:rPr>
    </w:lvl>
    <w:lvl w:ilvl="7" w:tplc="C7FEE250" w:tentative="1">
      <w:start w:val="1"/>
      <w:numFmt w:val="bullet"/>
      <w:lvlText w:val="o"/>
      <w:lvlJc w:val="left"/>
      <w:pPr>
        <w:tabs>
          <w:tab w:val="left" w:pos="5760"/>
        </w:tabs>
        <w:ind w:left="5760" w:hanging="360"/>
      </w:pPr>
      <w:rPr>
        <w:rFonts w:ascii="Courier New" w:hAnsi="Courier New" w:cs="Courier New" w:hint="default"/>
      </w:rPr>
    </w:lvl>
    <w:lvl w:ilvl="8" w:tplc="9BF69E36" w:tentative="1">
      <w:start w:val="1"/>
      <w:numFmt w:val="bullet"/>
      <w:lvlText w:val=""/>
      <w:lvlJc w:val="left"/>
      <w:pPr>
        <w:tabs>
          <w:tab w:val="left" w:pos="6480"/>
        </w:tabs>
        <w:ind w:left="6480" w:hanging="360"/>
      </w:pPr>
      <w:rPr>
        <w:rFonts w:ascii="Wingdings" w:hAnsi="Wingdings" w:hint="default"/>
      </w:rPr>
    </w:lvl>
  </w:abstractNum>
  <w:abstractNum w:abstractNumId="31">
    <w:nsid w:val="00000020"/>
    <w:multiLevelType w:val="multilevel"/>
    <w:tmpl w:val="0E5E8046"/>
    <w:lvl w:ilvl="0">
      <w:start w:val="1"/>
      <w:numFmt w:val="decimal"/>
      <w:lvlText w:val="%1."/>
      <w:lvlJc w:val="left"/>
      <w:pPr>
        <w:tabs>
          <w:tab w:val="left" w:pos="340"/>
        </w:tabs>
        <w:ind w:left="340" w:hanging="340"/>
      </w:pPr>
      <w:rPr>
        <w:rFonts w:ascii="Times New Roman" w:hAnsi="Times New Roman" w:hint="default"/>
        <w:sz w:val="20"/>
        <w:szCs w:val="20"/>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2">
    <w:nsid w:val="00000021"/>
    <w:multiLevelType w:val="hybridMultilevel"/>
    <w:tmpl w:val="BAA85680"/>
    <w:lvl w:ilvl="0" w:tplc="558C73A4">
      <w:start w:val="1"/>
      <w:numFmt w:val="bullet"/>
      <w:lvlText w:val=""/>
      <w:lvlJc w:val="left"/>
      <w:pPr>
        <w:tabs>
          <w:tab w:val="left" w:pos="1790"/>
        </w:tabs>
        <w:ind w:left="1790" w:hanging="360"/>
      </w:pPr>
      <w:rPr>
        <w:rFonts w:ascii="Symbol" w:hAnsi="Symbol" w:hint="default"/>
        <w:sz w:val="20"/>
      </w:rPr>
    </w:lvl>
    <w:lvl w:ilvl="1" w:tplc="A0B24EC4">
      <w:start w:val="1"/>
      <w:numFmt w:val="bullet"/>
      <w:lvlText w:val=""/>
      <w:lvlJc w:val="left"/>
      <w:pPr>
        <w:tabs>
          <w:tab w:val="left" w:pos="2700"/>
        </w:tabs>
        <w:ind w:left="2700" w:hanging="1282"/>
      </w:pPr>
      <w:rPr>
        <w:rFonts w:ascii="Symbol" w:hAnsi="Symbol" w:hint="default"/>
        <w:sz w:val="20"/>
      </w:rPr>
    </w:lvl>
    <w:lvl w:ilvl="2" w:tplc="04070005" w:tentative="1">
      <w:start w:val="1"/>
      <w:numFmt w:val="bullet"/>
      <w:lvlText w:val=""/>
      <w:lvlJc w:val="left"/>
      <w:pPr>
        <w:tabs>
          <w:tab w:val="left" w:pos="3420"/>
        </w:tabs>
        <w:ind w:left="3420" w:hanging="360"/>
      </w:pPr>
      <w:rPr>
        <w:rFonts w:ascii="Wingdings" w:hAnsi="Wingdings" w:hint="default"/>
      </w:rPr>
    </w:lvl>
    <w:lvl w:ilvl="3" w:tplc="04070001" w:tentative="1">
      <w:start w:val="1"/>
      <w:numFmt w:val="bullet"/>
      <w:lvlText w:val=""/>
      <w:lvlJc w:val="left"/>
      <w:pPr>
        <w:tabs>
          <w:tab w:val="left" w:pos="4140"/>
        </w:tabs>
        <w:ind w:left="4140" w:hanging="360"/>
      </w:pPr>
      <w:rPr>
        <w:rFonts w:ascii="Symbol" w:hAnsi="Symbol" w:hint="default"/>
      </w:rPr>
    </w:lvl>
    <w:lvl w:ilvl="4" w:tplc="04070003" w:tentative="1">
      <w:start w:val="1"/>
      <w:numFmt w:val="bullet"/>
      <w:lvlText w:val="o"/>
      <w:lvlJc w:val="left"/>
      <w:pPr>
        <w:tabs>
          <w:tab w:val="left" w:pos="4860"/>
        </w:tabs>
        <w:ind w:left="4860" w:hanging="360"/>
      </w:pPr>
      <w:rPr>
        <w:rFonts w:ascii="Courier New" w:hAnsi="Courier New" w:cs="Courier New" w:hint="default"/>
      </w:rPr>
    </w:lvl>
    <w:lvl w:ilvl="5" w:tplc="04070005" w:tentative="1">
      <w:start w:val="1"/>
      <w:numFmt w:val="bullet"/>
      <w:lvlText w:val=""/>
      <w:lvlJc w:val="left"/>
      <w:pPr>
        <w:tabs>
          <w:tab w:val="left" w:pos="5580"/>
        </w:tabs>
        <w:ind w:left="5580" w:hanging="360"/>
      </w:pPr>
      <w:rPr>
        <w:rFonts w:ascii="Wingdings" w:hAnsi="Wingdings" w:hint="default"/>
      </w:rPr>
    </w:lvl>
    <w:lvl w:ilvl="6" w:tplc="04070001" w:tentative="1">
      <w:start w:val="1"/>
      <w:numFmt w:val="bullet"/>
      <w:lvlText w:val=""/>
      <w:lvlJc w:val="left"/>
      <w:pPr>
        <w:tabs>
          <w:tab w:val="left" w:pos="6300"/>
        </w:tabs>
        <w:ind w:left="6300" w:hanging="360"/>
      </w:pPr>
      <w:rPr>
        <w:rFonts w:ascii="Symbol" w:hAnsi="Symbol" w:hint="default"/>
      </w:rPr>
    </w:lvl>
    <w:lvl w:ilvl="7" w:tplc="04070003" w:tentative="1">
      <w:start w:val="1"/>
      <w:numFmt w:val="bullet"/>
      <w:lvlText w:val="o"/>
      <w:lvlJc w:val="left"/>
      <w:pPr>
        <w:tabs>
          <w:tab w:val="left" w:pos="7020"/>
        </w:tabs>
        <w:ind w:left="7020" w:hanging="360"/>
      </w:pPr>
      <w:rPr>
        <w:rFonts w:ascii="Courier New" w:hAnsi="Courier New" w:cs="Courier New" w:hint="default"/>
      </w:rPr>
    </w:lvl>
    <w:lvl w:ilvl="8" w:tplc="04070005" w:tentative="1">
      <w:start w:val="1"/>
      <w:numFmt w:val="bullet"/>
      <w:lvlText w:val=""/>
      <w:lvlJc w:val="left"/>
      <w:pPr>
        <w:tabs>
          <w:tab w:val="left" w:pos="7740"/>
        </w:tabs>
        <w:ind w:left="7740" w:hanging="360"/>
      </w:pPr>
      <w:rPr>
        <w:rFonts w:ascii="Wingdings" w:hAnsi="Wingdings" w:hint="default"/>
      </w:rPr>
    </w:lvl>
  </w:abstractNum>
  <w:abstractNum w:abstractNumId="33">
    <w:nsid w:val="00000022"/>
    <w:multiLevelType w:val="multilevel"/>
    <w:tmpl w:val="BFB64BB6"/>
    <w:lvl w:ilvl="0">
      <w:start w:val="1"/>
      <w:numFmt w:val="bullet"/>
      <w:lvlText w:val=""/>
      <w:lvlJc w:val="left"/>
      <w:pPr>
        <w:tabs>
          <w:tab w:val="left" w:pos="340"/>
        </w:tabs>
        <w:ind w:left="340" w:hanging="340"/>
      </w:pPr>
      <w:rPr>
        <w:rFonts w:ascii="Symbol" w:hAnsi="Symbol"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nsid w:val="00000023"/>
    <w:multiLevelType w:val="multilevel"/>
    <w:tmpl w:val="0AF26472"/>
    <w:lvl w:ilvl="0">
      <w:start w:val="1"/>
      <w:numFmt w:val="decimal"/>
      <w:lvlText w:val="%1."/>
      <w:lvlJc w:val="left"/>
      <w:pPr>
        <w:tabs>
          <w:tab w:val="left" w:pos="340"/>
        </w:tabs>
        <w:ind w:left="340" w:hanging="340"/>
      </w:pPr>
      <w:rPr>
        <w:rFonts w:ascii="Times New Roman" w:hAnsi="Times New Roman" w:hint="default"/>
        <w:sz w:val="20"/>
        <w:szCs w:val="20"/>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5">
    <w:nsid w:val="00000024"/>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nsid w:val="00000025"/>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nsid w:val="10D27F02"/>
    <w:multiLevelType w:val="singleLevel"/>
    <w:tmpl w:val="8CB4691C"/>
    <w:lvl w:ilvl="0">
      <w:start w:val="1"/>
      <w:numFmt w:val="decimal"/>
      <w:lvlText w:val="%1."/>
      <w:lvlJc w:val="left"/>
      <w:pPr>
        <w:tabs>
          <w:tab w:val="left" w:pos="1492"/>
        </w:tabs>
        <w:ind w:left="1492" w:hanging="360"/>
      </w:pPr>
    </w:lvl>
  </w:abstractNum>
  <w:num w:numId="1">
    <w:abstractNumId w:val="14"/>
  </w:num>
  <w:num w:numId="2">
    <w:abstractNumId w:val="6"/>
  </w:num>
  <w:num w:numId="3">
    <w:abstractNumId w:val="5"/>
  </w:num>
  <w:num w:numId="4">
    <w:abstractNumId w:val="11"/>
  </w:num>
  <w:num w:numId="5">
    <w:abstractNumId w:val="23"/>
  </w:num>
  <w:num w:numId="6">
    <w:abstractNumId w:val="21"/>
  </w:num>
  <w:num w:numId="7">
    <w:abstractNumId w:val="19"/>
  </w:num>
  <w:num w:numId="8">
    <w:abstractNumId w:val="17"/>
  </w:num>
  <w:num w:numId="9">
    <w:abstractNumId w:val="36"/>
  </w:num>
  <w:num w:numId="10">
    <w:abstractNumId w:val="35"/>
  </w:num>
  <w:num w:numId="11">
    <w:abstractNumId w:val="15"/>
  </w:num>
  <w:num w:numId="12">
    <w:abstractNumId w:val="27"/>
  </w:num>
  <w:num w:numId="13">
    <w:abstractNumId w:val="18"/>
  </w:num>
  <w:num w:numId="14">
    <w:abstractNumId w:val="29"/>
  </w:num>
  <w:num w:numId="15">
    <w:abstractNumId w:val="3"/>
  </w:num>
  <w:num w:numId="16">
    <w:abstractNumId w:val="4"/>
  </w:num>
  <w:num w:numId="17">
    <w:abstractNumId w:val="8"/>
  </w:num>
  <w:num w:numId="18">
    <w:abstractNumId w:val="7"/>
  </w:num>
  <w:num w:numId="19">
    <w:abstractNumId w:val="2"/>
  </w:num>
  <w:num w:numId="20">
    <w:abstractNumId w:val="1"/>
  </w:num>
  <w:num w:numId="21">
    <w:abstractNumId w:val="0"/>
  </w:num>
  <w:num w:numId="22">
    <w:abstractNumId w:val="37"/>
  </w:num>
  <w:num w:numId="23">
    <w:abstractNumId w:val="20"/>
  </w:num>
  <w:num w:numId="24">
    <w:abstractNumId w:val="24"/>
  </w:num>
  <w:num w:numId="25">
    <w:abstractNumId w:val="10"/>
  </w:num>
  <w:num w:numId="26">
    <w:abstractNumId w:val="25"/>
  </w:num>
  <w:num w:numId="27">
    <w:abstractNumId w:val="33"/>
  </w:num>
  <w:num w:numId="28">
    <w:abstractNumId w:val="9"/>
  </w:num>
  <w:num w:numId="29">
    <w:abstractNumId w:val="34"/>
  </w:num>
  <w:num w:numId="30">
    <w:abstractNumId w:val="31"/>
  </w:num>
  <w:num w:numId="31">
    <w:abstractNumId w:val="13"/>
  </w:num>
  <w:num w:numId="32">
    <w:abstractNumId w:val="12"/>
  </w:num>
  <w:num w:numId="33">
    <w:abstractNumId w:val="30"/>
  </w:num>
  <w:num w:numId="34">
    <w:abstractNumId w:val="28"/>
  </w:num>
  <w:num w:numId="35">
    <w:abstractNumId w:val="22"/>
  </w:num>
  <w:num w:numId="36">
    <w:abstractNumId w:val="26"/>
  </w:num>
  <w:num w:numId="37">
    <w:abstractNumId w:val="3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57"/>
  <w:drawingGridVerticalSpacing w:val="57"/>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62"/>
    <w:rsid w:val="00231E62"/>
    <w:rsid w:val="0087708B"/>
    <w:rsid w:val="008A3C7F"/>
    <w:rsid w:val="00967B70"/>
    <w:rsid w:val="00D22DE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1"/>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Id w:val="0"/>
      </w:numPr>
      <w:spacing w:before="300" w:after="150"/>
      <w:jc w:val="left"/>
      <w:outlineLvl w:val="1"/>
    </w:pPr>
    <w:rPr>
      <w:bCs w:val="0"/>
      <w:i/>
      <w:iCs/>
      <w:caps w:val="0"/>
      <w:sz w:val="20"/>
      <w:szCs w:val="20"/>
    </w:rPr>
  </w:style>
  <w:style w:type="paragraph" w:styleId="Ttulo3">
    <w:name w:val="heading 3"/>
    <w:basedOn w:val="Ttulo2"/>
    <w:next w:val="Normal"/>
    <w:qFormat/>
    <w:pPr>
      <w:numPr>
        <w:ilvl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2"/>
      </w:numPr>
    </w:pPr>
  </w:style>
  <w:style w:type="paragraph" w:styleId="Listaconvietas3">
    <w:name w:val="List Bullet 3"/>
    <w:basedOn w:val="Normal"/>
    <w:pPr>
      <w:numPr>
        <w:numId w:val="3"/>
      </w:numPr>
    </w:pPr>
  </w:style>
  <w:style w:type="paragraph" w:styleId="Textonotapie">
    <w:name w:val="footnote text"/>
    <w:basedOn w:val="Standard-1pt"/>
    <w:pPr>
      <w:tabs>
        <w:tab w:val="clear" w:pos="340"/>
        <w:tab w:val="clear" w:pos="68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left"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rPr>
      <w:vertAlign w:val="superscript"/>
    </w:rPr>
  </w:style>
  <w:style w:type="paragraph" w:styleId="Listaconvietas5">
    <w:name w:val="List Bullet 5"/>
    <w:basedOn w:val="Normal"/>
    <w:pPr>
      <w:tabs>
        <w:tab w:val="left"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pPr>
      <w:tabs>
        <w:tab w:val="clear" w:pos="340"/>
        <w:tab w:val="clear" w:pos="680"/>
      </w:tabs>
    </w:pPr>
  </w:style>
  <w:style w:type="paragraph" w:styleId="Epgrafe">
    <w:name w:val="caption"/>
    <w:basedOn w:val="Normal"/>
    <w:next w:val="Normal"/>
    <w:qFormat/>
    <w:rPr>
      <w:bCs/>
    </w:rPr>
  </w:style>
  <w:style w:type="paragraph" w:styleId="Textonotaalfinal">
    <w:name w:val="endnote text"/>
    <w:basedOn w:val="Normal"/>
  </w:style>
  <w:style w:type="character" w:styleId="Refdenotaalfinal">
    <w:name w:val="endnote reference"/>
    <w:rPr>
      <w:vertAlign w:val="superscript"/>
    </w:rPr>
  </w:style>
  <w:style w:type="paragraph" w:styleId="ndice1">
    <w:name w:val="index 1"/>
    <w:basedOn w:val="Normal"/>
    <w:next w:val="Normal"/>
    <w:pPr>
      <w:tabs>
        <w:tab w:val="clear" w:pos="340"/>
        <w:tab w:val="clear" w:pos="680"/>
      </w:tabs>
      <w:ind w:left="200" w:hanging="200"/>
    </w:pPr>
  </w:style>
  <w:style w:type="paragraph" w:styleId="ndice2">
    <w:name w:val="index 2"/>
    <w:basedOn w:val="Normal"/>
    <w:next w:val="Normal"/>
    <w:pPr>
      <w:tabs>
        <w:tab w:val="clear" w:pos="340"/>
        <w:tab w:val="clear" w:pos="680"/>
      </w:tabs>
      <w:ind w:left="400" w:hanging="200"/>
    </w:pPr>
  </w:style>
  <w:style w:type="paragraph" w:styleId="ndice3">
    <w:name w:val="index 3"/>
    <w:basedOn w:val="Normal"/>
    <w:next w:val="Normal"/>
    <w:pPr>
      <w:tabs>
        <w:tab w:val="clear" w:pos="340"/>
        <w:tab w:val="clear" w:pos="680"/>
      </w:tabs>
      <w:ind w:left="600" w:hanging="200"/>
    </w:pPr>
  </w:style>
  <w:style w:type="paragraph" w:styleId="ndice4">
    <w:name w:val="index 4"/>
    <w:basedOn w:val="Normal"/>
    <w:next w:val="Normal"/>
    <w:pPr>
      <w:tabs>
        <w:tab w:val="clear" w:pos="340"/>
        <w:tab w:val="clear" w:pos="680"/>
      </w:tabs>
      <w:ind w:left="800" w:hanging="200"/>
    </w:pPr>
  </w:style>
  <w:style w:type="paragraph" w:styleId="ndice5">
    <w:name w:val="index 5"/>
    <w:basedOn w:val="Normal"/>
    <w:next w:val="Normal"/>
    <w:pPr>
      <w:tabs>
        <w:tab w:val="clear" w:pos="340"/>
        <w:tab w:val="clear" w:pos="680"/>
      </w:tabs>
      <w:ind w:left="1000" w:hanging="200"/>
    </w:pPr>
  </w:style>
  <w:style w:type="paragraph" w:styleId="ndice6">
    <w:name w:val="index 6"/>
    <w:basedOn w:val="Normal"/>
    <w:next w:val="Normal"/>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s>
      <w:ind w:left="360" w:hanging="360"/>
    </w:pPr>
  </w:style>
  <w:style w:type="paragraph" w:styleId="Listaconnmeros2">
    <w:name w:val="List Number 2"/>
    <w:basedOn w:val="Normal"/>
    <w:pPr>
      <w:tabs>
        <w:tab w:val="left" w:pos="643"/>
      </w:tabs>
      <w:ind w:left="643" w:hanging="360"/>
    </w:pPr>
  </w:style>
  <w:style w:type="paragraph" w:styleId="Listaconnmeros3">
    <w:name w:val="List Number 3"/>
    <w:basedOn w:val="Normal"/>
    <w:pPr>
      <w:tabs>
        <w:tab w:val="left" w:pos="926"/>
      </w:tabs>
      <w:ind w:left="926" w:hanging="360"/>
    </w:pPr>
  </w:style>
  <w:style w:type="paragraph" w:styleId="Listaconnmeros4">
    <w:name w:val="List Number 4"/>
    <w:basedOn w:val="Normal"/>
    <w:pPr>
      <w:tabs>
        <w:tab w:val="left" w:pos="1209"/>
      </w:tabs>
      <w:ind w:left="1209" w:hanging="360"/>
    </w:pPr>
  </w:style>
  <w:style w:type="paragraph" w:styleId="Listaconnmeros5">
    <w:name w:val="List Number 5"/>
    <w:basedOn w:val="Normal"/>
    <w:pPr>
      <w:tabs>
        <w:tab w:val="left"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spacing w:before="120" w:after="120"/>
      <w:ind w:left="340" w:hanging="340"/>
      <w:contextualSpacing/>
    </w:pPr>
    <w:rPr>
      <w:lang w:val="de-DE" w:eastAsia="en-US"/>
    </w:rPr>
  </w:style>
  <w:style w:type="paragraph" w:customStyle="1" w:styleId="enumerate">
    <w:name w:val="enumerate"/>
    <w:basedOn w:val="Normal"/>
    <w:pPr>
      <w:keepLine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pPr>
      <w:tabs>
        <w:tab w:val="clear" w:pos="340"/>
        <w:tab w:val="clear" w:pos="680"/>
      </w:tabs>
      <w:ind w:left="1400" w:hanging="200"/>
    </w:pPr>
  </w:style>
  <w:style w:type="paragraph" w:styleId="ndice8">
    <w:name w:val="index 8"/>
    <w:basedOn w:val="Normal"/>
    <w:next w:val="Normal"/>
    <w:pPr>
      <w:tabs>
        <w:tab w:val="clear" w:pos="340"/>
        <w:tab w:val="clear" w:pos="680"/>
      </w:tabs>
      <w:ind w:left="1600" w:hanging="200"/>
    </w:pPr>
  </w:style>
  <w:style w:type="paragraph" w:styleId="ndice9">
    <w:name w:val="index 9"/>
    <w:basedOn w:val="Normal"/>
    <w:next w:val="Normal"/>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tyle>
  <w:style w:type="paragraph" w:customStyle="1" w:styleId="Kommentarthema">
    <w:name w:val="Kommentarthema"/>
    <w:basedOn w:val="Textocomentario"/>
    <w:next w:val="Textocomentario"/>
    <w:rPr>
      <w:b/>
      <w:bCs/>
    </w:rPr>
  </w:style>
  <w:style w:type="character" w:styleId="Refdecomentario">
    <w:name w:val="annotation reference"/>
    <w:rPr>
      <w:sz w:val="16"/>
      <w:szCs w:val="16"/>
    </w:rPr>
  </w:style>
  <w:style w:type="paragraph" w:styleId="Textomacro">
    <w:name w:val="macro"/>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pPr>
      <w:tabs>
        <w:tab w:val="clear" w:pos="340"/>
        <w:tab w:val="clear" w:pos="680"/>
      </w:tabs>
    </w:pPr>
  </w:style>
  <w:style w:type="paragraph" w:styleId="TDC2">
    <w:name w:val="toc 2"/>
    <w:basedOn w:val="Normal"/>
    <w:next w:val="Normal"/>
    <w:pPr>
      <w:tabs>
        <w:tab w:val="clear" w:pos="340"/>
        <w:tab w:val="clear" w:pos="680"/>
      </w:tabs>
      <w:ind w:left="200"/>
    </w:pPr>
  </w:style>
  <w:style w:type="paragraph" w:styleId="TDC3">
    <w:name w:val="toc 3"/>
    <w:basedOn w:val="Normal"/>
    <w:next w:val="Normal"/>
    <w:pPr>
      <w:tabs>
        <w:tab w:val="clear" w:pos="340"/>
        <w:tab w:val="clear" w:pos="680"/>
      </w:tabs>
      <w:ind w:left="400"/>
    </w:pPr>
  </w:style>
  <w:style w:type="paragraph" w:styleId="TDC4">
    <w:name w:val="toc 4"/>
    <w:basedOn w:val="Normal"/>
    <w:next w:val="Normal"/>
    <w:pPr>
      <w:tabs>
        <w:tab w:val="clear" w:pos="340"/>
        <w:tab w:val="clear" w:pos="680"/>
      </w:tabs>
      <w:ind w:left="600"/>
    </w:pPr>
  </w:style>
  <w:style w:type="paragraph" w:styleId="TDC5">
    <w:name w:val="toc 5"/>
    <w:basedOn w:val="Normal"/>
    <w:next w:val="Normal"/>
    <w:pPr>
      <w:tabs>
        <w:tab w:val="clear" w:pos="340"/>
        <w:tab w:val="clear" w:pos="680"/>
      </w:tabs>
      <w:ind w:left="800"/>
    </w:pPr>
  </w:style>
  <w:style w:type="paragraph" w:styleId="TDC6">
    <w:name w:val="toc 6"/>
    <w:basedOn w:val="Normal"/>
    <w:next w:val="Normal"/>
    <w:pPr>
      <w:tabs>
        <w:tab w:val="clear" w:pos="340"/>
        <w:tab w:val="clear" w:pos="680"/>
      </w:tabs>
      <w:ind w:left="1000"/>
    </w:pPr>
  </w:style>
  <w:style w:type="paragraph" w:styleId="TDC7">
    <w:name w:val="toc 7"/>
    <w:basedOn w:val="Normal"/>
    <w:next w:val="Normal"/>
    <w:pPr>
      <w:tabs>
        <w:tab w:val="clear" w:pos="340"/>
        <w:tab w:val="clear" w:pos="680"/>
      </w:tabs>
      <w:ind w:left="1200"/>
    </w:pPr>
  </w:style>
  <w:style w:type="paragraph" w:styleId="TDC8">
    <w:name w:val="toc 8"/>
    <w:basedOn w:val="Normal"/>
    <w:next w:val="Normal"/>
    <w:pPr>
      <w:tabs>
        <w:tab w:val="clear" w:pos="340"/>
        <w:tab w:val="clear" w:pos="680"/>
      </w:tabs>
      <w:ind w:left="1400"/>
    </w:pPr>
  </w:style>
  <w:style w:type="paragraph" w:styleId="TDC9">
    <w:name w:val="toc 9"/>
    <w:basedOn w:val="Normal"/>
    <w:next w:val="Normal"/>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rPr>
      <w:rFonts w:ascii="Tahoma" w:hAnsi="Tahoma" w:cs="Tahoma"/>
      <w:sz w:val="16"/>
      <w:szCs w:val="16"/>
    </w:rPr>
  </w:style>
  <w:style w:type="character" w:styleId="Textoennegrita">
    <w:name w:val="Strong"/>
    <w:qFormat/>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Pr>
      <w:sz w:val="18"/>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1"/>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Id w:val="0"/>
      </w:numPr>
      <w:spacing w:before="300" w:after="150"/>
      <w:jc w:val="left"/>
      <w:outlineLvl w:val="1"/>
    </w:pPr>
    <w:rPr>
      <w:bCs w:val="0"/>
      <w:i/>
      <w:iCs/>
      <w:caps w:val="0"/>
      <w:sz w:val="20"/>
      <w:szCs w:val="20"/>
    </w:rPr>
  </w:style>
  <w:style w:type="paragraph" w:styleId="Ttulo3">
    <w:name w:val="heading 3"/>
    <w:basedOn w:val="Ttulo2"/>
    <w:next w:val="Normal"/>
    <w:qFormat/>
    <w:pPr>
      <w:numPr>
        <w:ilvl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2"/>
      </w:numPr>
    </w:pPr>
  </w:style>
  <w:style w:type="paragraph" w:styleId="Listaconvietas3">
    <w:name w:val="List Bullet 3"/>
    <w:basedOn w:val="Normal"/>
    <w:pPr>
      <w:numPr>
        <w:numId w:val="3"/>
      </w:numPr>
    </w:pPr>
  </w:style>
  <w:style w:type="paragraph" w:styleId="Textonotapie">
    <w:name w:val="footnote text"/>
    <w:basedOn w:val="Standard-1pt"/>
    <w:pPr>
      <w:tabs>
        <w:tab w:val="clear" w:pos="340"/>
        <w:tab w:val="clear" w:pos="68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left"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rPr>
      <w:vertAlign w:val="superscript"/>
    </w:rPr>
  </w:style>
  <w:style w:type="paragraph" w:styleId="Listaconvietas5">
    <w:name w:val="List Bullet 5"/>
    <w:basedOn w:val="Normal"/>
    <w:pPr>
      <w:tabs>
        <w:tab w:val="left"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pPr>
      <w:tabs>
        <w:tab w:val="clear" w:pos="340"/>
        <w:tab w:val="clear" w:pos="680"/>
      </w:tabs>
    </w:pPr>
  </w:style>
  <w:style w:type="paragraph" w:styleId="Epgrafe">
    <w:name w:val="caption"/>
    <w:basedOn w:val="Normal"/>
    <w:next w:val="Normal"/>
    <w:qFormat/>
    <w:rPr>
      <w:bCs/>
    </w:rPr>
  </w:style>
  <w:style w:type="paragraph" w:styleId="Textonotaalfinal">
    <w:name w:val="endnote text"/>
    <w:basedOn w:val="Normal"/>
  </w:style>
  <w:style w:type="character" w:styleId="Refdenotaalfinal">
    <w:name w:val="endnote reference"/>
    <w:rPr>
      <w:vertAlign w:val="superscript"/>
    </w:rPr>
  </w:style>
  <w:style w:type="paragraph" w:styleId="ndice1">
    <w:name w:val="index 1"/>
    <w:basedOn w:val="Normal"/>
    <w:next w:val="Normal"/>
    <w:pPr>
      <w:tabs>
        <w:tab w:val="clear" w:pos="340"/>
        <w:tab w:val="clear" w:pos="680"/>
      </w:tabs>
      <w:ind w:left="200" w:hanging="200"/>
    </w:pPr>
  </w:style>
  <w:style w:type="paragraph" w:styleId="ndice2">
    <w:name w:val="index 2"/>
    <w:basedOn w:val="Normal"/>
    <w:next w:val="Normal"/>
    <w:pPr>
      <w:tabs>
        <w:tab w:val="clear" w:pos="340"/>
        <w:tab w:val="clear" w:pos="680"/>
      </w:tabs>
      <w:ind w:left="400" w:hanging="200"/>
    </w:pPr>
  </w:style>
  <w:style w:type="paragraph" w:styleId="ndice3">
    <w:name w:val="index 3"/>
    <w:basedOn w:val="Normal"/>
    <w:next w:val="Normal"/>
    <w:pPr>
      <w:tabs>
        <w:tab w:val="clear" w:pos="340"/>
        <w:tab w:val="clear" w:pos="680"/>
      </w:tabs>
      <w:ind w:left="600" w:hanging="200"/>
    </w:pPr>
  </w:style>
  <w:style w:type="paragraph" w:styleId="ndice4">
    <w:name w:val="index 4"/>
    <w:basedOn w:val="Normal"/>
    <w:next w:val="Normal"/>
    <w:pPr>
      <w:tabs>
        <w:tab w:val="clear" w:pos="340"/>
        <w:tab w:val="clear" w:pos="680"/>
      </w:tabs>
      <w:ind w:left="800" w:hanging="200"/>
    </w:pPr>
  </w:style>
  <w:style w:type="paragraph" w:styleId="ndice5">
    <w:name w:val="index 5"/>
    <w:basedOn w:val="Normal"/>
    <w:next w:val="Normal"/>
    <w:pPr>
      <w:tabs>
        <w:tab w:val="clear" w:pos="340"/>
        <w:tab w:val="clear" w:pos="680"/>
      </w:tabs>
      <w:ind w:left="1000" w:hanging="200"/>
    </w:pPr>
  </w:style>
  <w:style w:type="paragraph" w:styleId="ndice6">
    <w:name w:val="index 6"/>
    <w:basedOn w:val="Normal"/>
    <w:next w:val="Normal"/>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s>
      <w:ind w:left="360" w:hanging="360"/>
    </w:pPr>
  </w:style>
  <w:style w:type="paragraph" w:styleId="Listaconnmeros2">
    <w:name w:val="List Number 2"/>
    <w:basedOn w:val="Normal"/>
    <w:pPr>
      <w:tabs>
        <w:tab w:val="left" w:pos="643"/>
      </w:tabs>
      <w:ind w:left="643" w:hanging="360"/>
    </w:pPr>
  </w:style>
  <w:style w:type="paragraph" w:styleId="Listaconnmeros3">
    <w:name w:val="List Number 3"/>
    <w:basedOn w:val="Normal"/>
    <w:pPr>
      <w:tabs>
        <w:tab w:val="left" w:pos="926"/>
      </w:tabs>
      <w:ind w:left="926" w:hanging="360"/>
    </w:pPr>
  </w:style>
  <w:style w:type="paragraph" w:styleId="Listaconnmeros4">
    <w:name w:val="List Number 4"/>
    <w:basedOn w:val="Normal"/>
    <w:pPr>
      <w:tabs>
        <w:tab w:val="left" w:pos="1209"/>
      </w:tabs>
      <w:ind w:left="1209" w:hanging="360"/>
    </w:pPr>
  </w:style>
  <w:style w:type="paragraph" w:styleId="Listaconnmeros5">
    <w:name w:val="List Number 5"/>
    <w:basedOn w:val="Normal"/>
    <w:pPr>
      <w:tabs>
        <w:tab w:val="left"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spacing w:before="120" w:after="120"/>
      <w:ind w:left="340" w:hanging="340"/>
      <w:contextualSpacing/>
    </w:pPr>
    <w:rPr>
      <w:lang w:val="de-DE" w:eastAsia="en-US"/>
    </w:rPr>
  </w:style>
  <w:style w:type="paragraph" w:customStyle="1" w:styleId="enumerate">
    <w:name w:val="enumerate"/>
    <w:basedOn w:val="Normal"/>
    <w:pPr>
      <w:keepLine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pPr>
      <w:tabs>
        <w:tab w:val="clear" w:pos="340"/>
        <w:tab w:val="clear" w:pos="680"/>
      </w:tabs>
      <w:ind w:left="1400" w:hanging="200"/>
    </w:pPr>
  </w:style>
  <w:style w:type="paragraph" w:styleId="ndice8">
    <w:name w:val="index 8"/>
    <w:basedOn w:val="Normal"/>
    <w:next w:val="Normal"/>
    <w:pPr>
      <w:tabs>
        <w:tab w:val="clear" w:pos="340"/>
        <w:tab w:val="clear" w:pos="680"/>
      </w:tabs>
      <w:ind w:left="1600" w:hanging="200"/>
    </w:pPr>
  </w:style>
  <w:style w:type="paragraph" w:styleId="ndice9">
    <w:name w:val="index 9"/>
    <w:basedOn w:val="Normal"/>
    <w:next w:val="Normal"/>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tyle>
  <w:style w:type="paragraph" w:customStyle="1" w:styleId="Kommentarthema">
    <w:name w:val="Kommentarthema"/>
    <w:basedOn w:val="Textocomentario"/>
    <w:next w:val="Textocomentario"/>
    <w:rPr>
      <w:b/>
      <w:bCs/>
    </w:rPr>
  </w:style>
  <w:style w:type="character" w:styleId="Refdecomentario">
    <w:name w:val="annotation reference"/>
    <w:rPr>
      <w:sz w:val="16"/>
      <w:szCs w:val="16"/>
    </w:rPr>
  </w:style>
  <w:style w:type="paragraph" w:styleId="Textomacro">
    <w:name w:val="macro"/>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pPr>
      <w:tabs>
        <w:tab w:val="clear" w:pos="340"/>
        <w:tab w:val="clear" w:pos="680"/>
      </w:tabs>
    </w:pPr>
  </w:style>
  <w:style w:type="paragraph" w:styleId="TDC2">
    <w:name w:val="toc 2"/>
    <w:basedOn w:val="Normal"/>
    <w:next w:val="Normal"/>
    <w:pPr>
      <w:tabs>
        <w:tab w:val="clear" w:pos="340"/>
        <w:tab w:val="clear" w:pos="680"/>
      </w:tabs>
      <w:ind w:left="200"/>
    </w:pPr>
  </w:style>
  <w:style w:type="paragraph" w:styleId="TDC3">
    <w:name w:val="toc 3"/>
    <w:basedOn w:val="Normal"/>
    <w:next w:val="Normal"/>
    <w:pPr>
      <w:tabs>
        <w:tab w:val="clear" w:pos="340"/>
        <w:tab w:val="clear" w:pos="680"/>
      </w:tabs>
      <w:ind w:left="400"/>
    </w:pPr>
  </w:style>
  <w:style w:type="paragraph" w:styleId="TDC4">
    <w:name w:val="toc 4"/>
    <w:basedOn w:val="Normal"/>
    <w:next w:val="Normal"/>
    <w:pPr>
      <w:tabs>
        <w:tab w:val="clear" w:pos="340"/>
        <w:tab w:val="clear" w:pos="680"/>
      </w:tabs>
      <w:ind w:left="600"/>
    </w:pPr>
  </w:style>
  <w:style w:type="paragraph" w:styleId="TDC5">
    <w:name w:val="toc 5"/>
    <w:basedOn w:val="Normal"/>
    <w:next w:val="Normal"/>
    <w:pPr>
      <w:tabs>
        <w:tab w:val="clear" w:pos="340"/>
        <w:tab w:val="clear" w:pos="680"/>
      </w:tabs>
      <w:ind w:left="800"/>
    </w:pPr>
  </w:style>
  <w:style w:type="paragraph" w:styleId="TDC6">
    <w:name w:val="toc 6"/>
    <w:basedOn w:val="Normal"/>
    <w:next w:val="Normal"/>
    <w:pPr>
      <w:tabs>
        <w:tab w:val="clear" w:pos="340"/>
        <w:tab w:val="clear" w:pos="680"/>
      </w:tabs>
      <w:ind w:left="1000"/>
    </w:pPr>
  </w:style>
  <w:style w:type="paragraph" w:styleId="TDC7">
    <w:name w:val="toc 7"/>
    <w:basedOn w:val="Normal"/>
    <w:next w:val="Normal"/>
    <w:pPr>
      <w:tabs>
        <w:tab w:val="clear" w:pos="340"/>
        <w:tab w:val="clear" w:pos="680"/>
      </w:tabs>
      <w:ind w:left="1200"/>
    </w:pPr>
  </w:style>
  <w:style w:type="paragraph" w:styleId="TDC8">
    <w:name w:val="toc 8"/>
    <w:basedOn w:val="Normal"/>
    <w:next w:val="Normal"/>
    <w:pPr>
      <w:tabs>
        <w:tab w:val="clear" w:pos="340"/>
        <w:tab w:val="clear" w:pos="680"/>
      </w:tabs>
      <w:ind w:left="1400"/>
    </w:pPr>
  </w:style>
  <w:style w:type="paragraph" w:styleId="TDC9">
    <w:name w:val="toc 9"/>
    <w:basedOn w:val="Normal"/>
    <w:next w:val="Normal"/>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rPr>
      <w:rFonts w:ascii="Tahoma" w:hAnsi="Tahoma" w:cs="Tahoma"/>
      <w:sz w:val="16"/>
      <w:szCs w:val="16"/>
    </w:rPr>
  </w:style>
  <w:style w:type="character" w:styleId="Textoennegrita">
    <w:name w:val="Strong"/>
    <w:qFormat/>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Pr>
      <w:sz w:val="1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3282</Words>
  <Characters>18914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22152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Asus</cp:lastModifiedBy>
  <cp:revision>4</cp:revision>
  <cp:lastPrinted>2007-03-08T18:41:00Z</cp:lastPrinted>
  <dcterms:created xsi:type="dcterms:W3CDTF">2025-03-14T09:16:00Z</dcterms:created>
  <dcterms:modified xsi:type="dcterms:W3CDTF">2025-03-14T10:30:00Z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f9905040c63346e7863f1825a9fd7fad</vt:lpwstr>
  </property>
</Properties>
</file>