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00E8B" w14:textId="6C12FDE6" w:rsidR="006262BA" w:rsidRDefault="0027245D" w:rsidP="006262BA">
      <w:pPr>
        <w:pStyle w:val="Encabezado"/>
        <w:jc w:val="center"/>
        <w:rPr>
          <w:b/>
          <w:sz w:val="28"/>
          <w:szCs w:val="28"/>
          <w:lang w:val="es-VE"/>
        </w:rPr>
      </w:pPr>
      <w:r w:rsidRPr="0027245D">
        <w:rPr>
          <w:b/>
          <w:sz w:val="28"/>
          <w:szCs w:val="28"/>
          <w:lang w:val="es-VE"/>
        </w:rPr>
        <w:t xml:space="preserve">Evaluación del programa de enfermedades cerebrovasculares. </w:t>
      </w:r>
      <w:r w:rsidR="00975AA1">
        <w:rPr>
          <w:b/>
          <w:sz w:val="28"/>
          <w:szCs w:val="28"/>
          <w:lang w:val="es-VE"/>
        </w:rPr>
        <w:t>Enfoque desde</w:t>
      </w:r>
      <w:r w:rsidRPr="0027245D">
        <w:rPr>
          <w:b/>
          <w:sz w:val="28"/>
          <w:szCs w:val="28"/>
          <w:lang w:val="es-VE"/>
        </w:rPr>
        <w:t xml:space="preserve"> el anuario estadístico. Cuba, 2023</w:t>
      </w:r>
    </w:p>
    <w:p w14:paraId="6BD8B522" w14:textId="77777777" w:rsidR="0027245D" w:rsidRPr="0027245D" w:rsidRDefault="0027245D" w:rsidP="006262BA">
      <w:pPr>
        <w:pStyle w:val="Encabezado"/>
        <w:jc w:val="center"/>
        <w:rPr>
          <w:b/>
          <w:snapToGrid w:val="0"/>
          <w:sz w:val="28"/>
          <w:szCs w:val="28"/>
          <w:lang w:val="es-ES" w:eastAsia="ja-JP"/>
        </w:rPr>
      </w:pPr>
    </w:p>
    <w:p w14:paraId="6D3ACA0F" w14:textId="77777777" w:rsidR="00170F2A" w:rsidRDefault="00593002" w:rsidP="00170F2A">
      <w:pPr>
        <w:pStyle w:val="author"/>
        <w:rPr>
          <w:lang w:val="es-ES"/>
        </w:rPr>
      </w:pPr>
      <w:r>
        <w:rPr>
          <w:lang w:val="es-ES"/>
        </w:rPr>
        <w:t>Pineda Citalán, Roxana</w:t>
      </w:r>
      <w:r w:rsidR="000350F0" w:rsidRPr="006B4600">
        <w:rPr>
          <w:vertAlign w:val="superscript"/>
          <w:lang w:val="es-ES"/>
        </w:rPr>
        <w:t>1</w:t>
      </w:r>
      <w:r w:rsidR="000350F0" w:rsidRPr="006B4600">
        <w:rPr>
          <w:lang w:val="es-ES"/>
        </w:rPr>
        <w:t xml:space="preserve"> </w:t>
      </w:r>
      <w:r w:rsidR="004F2A7B">
        <w:rPr>
          <w:lang w:val="es-ES"/>
        </w:rPr>
        <w:br/>
      </w:r>
      <w:r>
        <w:rPr>
          <w:lang w:val="es-VE"/>
        </w:rPr>
        <w:t xml:space="preserve">Díaz </w:t>
      </w:r>
      <w:proofErr w:type="spellStart"/>
      <w:proofErr w:type="gramStart"/>
      <w:r>
        <w:rPr>
          <w:lang w:val="es-VE"/>
        </w:rPr>
        <w:t>Fuentes,Yoandry</w:t>
      </w:r>
      <w:proofErr w:type="spellEnd"/>
      <w:proofErr w:type="gramEnd"/>
      <w:r>
        <w:rPr>
          <w:lang w:val="es-VE"/>
        </w:rPr>
        <w:t xml:space="preserve"> Alfonso</w:t>
      </w:r>
      <w:r w:rsidR="000350F0" w:rsidRPr="006B4600">
        <w:rPr>
          <w:rStyle w:val="superscript"/>
          <w:lang w:val="es-ES"/>
        </w:rPr>
        <w:t>2</w:t>
      </w:r>
      <w:r w:rsidR="004F2A7B">
        <w:rPr>
          <w:rStyle w:val="superscript"/>
          <w:lang w:val="es-ES"/>
        </w:rPr>
        <w:br/>
      </w:r>
      <w:bookmarkStart w:id="0" w:name="_Hlk192277672"/>
      <w:r>
        <w:rPr>
          <w:lang w:val="es-VE"/>
        </w:rPr>
        <w:t>Pérez García</w:t>
      </w:r>
      <w:r w:rsidR="004F2A7B">
        <w:rPr>
          <w:lang w:val="es-ES"/>
        </w:rPr>
        <w:t xml:space="preserve">, </w:t>
      </w:r>
      <w:r>
        <w:rPr>
          <w:lang w:val="es-ES"/>
        </w:rPr>
        <w:t>Rosa María</w:t>
      </w:r>
      <w:r w:rsidR="009E6E21">
        <w:rPr>
          <w:vertAlign w:val="superscript"/>
          <w:lang w:val="es-ES"/>
        </w:rPr>
        <w:t>3</w:t>
      </w:r>
      <w:r w:rsidR="006B4600" w:rsidRPr="006B4600">
        <w:rPr>
          <w:lang w:val="es-ES"/>
        </w:rPr>
        <w:t xml:space="preserve"> </w:t>
      </w:r>
      <w:bookmarkEnd w:id="0"/>
    </w:p>
    <w:p w14:paraId="1EC6B01A" w14:textId="77777777" w:rsidR="00170F2A" w:rsidRDefault="00170F2A" w:rsidP="00170F2A">
      <w:pPr>
        <w:pStyle w:val="author"/>
        <w:rPr>
          <w:vertAlign w:val="superscript"/>
          <w:lang w:val="es-ES"/>
        </w:rPr>
      </w:pPr>
      <w:r>
        <w:rPr>
          <w:lang w:val="es-VE"/>
        </w:rPr>
        <w:t>Hernández Domínguez</w:t>
      </w:r>
      <w:r w:rsidRPr="00170F2A">
        <w:rPr>
          <w:lang w:val="es-ES"/>
        </w:rPr>
        <w:t xml:space="preserve">, </w:t>
      </w:r>
      <w:r>
        <w:rPr>
          <w:lang w:val="es-ES"/>
        </w:rPr>
        <w:t>Claudia</w:t>
      </w:r>
      <w:r>
        <w:rPr>
          <w:vertAlign w:val="superscript"/>
          <w:lang w:val="es-ES"/>
        </w:rPr>
        <w:t>4</w:t>
      </w:r>
    </w:p>
    <w:p w14:paraId="5B016112" w14:textId="598CCDD4" w:rsidR="00170F2A" w:rsidRPr="00170F2A" w:rsidRDefault="00170F2A" w:rsidP="00170F2A">
      <w:pPr>
        <w:pStyle w:val="author"/>
        <w:rPr>
          <w:vertAlign w:val="superscript"/>
          <w:lang w:val="es-ES"/>
        </w:rPr>
      </w:pPr>
      <w:r w:rsidRPr="00170F2A">
        <w:rPr>
          <w:lang w:val="es-VE"/>
        </w:rPr>
        <w:t xml:space="preserve"> </w:t>
      </w:r>
      <w:proofErr w:type="spellStart"/>
      <w:r>
        <w:rPr>
          <w:lang w:val="es-VE"/>
        </w:rPr>
        <w:t>Carrandi</w:t>
      </w:r>
      <w:proofErr w:type="spellEnd"/>
      <w:r>
        <w:rPr>
          <w:lang w:val="es-VE"/>
        </w:rPr>
        <w:t xml:space="preserve"> </w:t>
      </w:r>
      <w:r w:rsidR="00266E9A">
        <w:rPr>
          <w:lang w:val="es-VE"/>
        </w:rPr>
        <w:t>González</w:t>
      </w:r>
      <w:r w:rsidRPr="00170F2A">
        <w:rPr>
          <w:lang w:val="es-ES"/>
        </w:rPr>
        <w:t xml:space="preserve">, </w:t>
      </w:r>
      <w:r>
        <w:rPr>
          <w:lang w:val="es-ES"/>
        </w:rPr>
        <w:t>María Elena</w:t>
      </w:r>
      <w:r>
        <w:rPr>
          <w:vertAlign w:val="superscript"/>
          <w:lang w:val="es-ES"/>
        </w:rPr>
        <w:t>5</w:t>
      </w:r>
    </w:p>
    <w:p w14:paraId="16FF590B" w14:textId="5EF5D451" w:rsidR="00170F2A" w:rsidRPr="00170F2A" w:rsidRDefault="00170F2A" w:rsidP="00170F2A">
      <w:pPr>
        <w:pStyle w:val="author"/>
        <w:rPr>
          <w:lang w:val="es-ES"/>
        </w:rPr>
      </w:pPr>
    </w:p>
    <w:p w14:paraId="0A54D2A8" w14:textId="77777777" w:rsidR="00170F2A" w:rsidRPr="00170F2A" w:rsidRDefault="00170F2A" w:rsidP="00170F2A">
      <w:pPr>
        <w:pStyle w:val="authorinfo"/>
        <w:jc w:val="both"/>
        <w:rPr>
          <w:lang w:val="es-ES"/>
        </w:rPr>
      </w:pPr>
    </w:p>
    <w:p w14:paraId="2F3857B6" w14:textId="5270B912" w:rsidR="00593002" w:rsidRPr="00593002" w:rsidRDefault="00EF237D" w:rsidP="00593002">
      <w:pPr>
        <w:pStyle w:val="authorinfo"/>
        <w:spacing w:after="0"/>
        <w:rPr>
          <w:lang w:val="es-VE"/>
        </w:rPr>
      </w:pPr>
      <w:r w:rsidRPr="00EF237D">
        <w:rPr>
          <w:snapToGrid w:val="0"/>
          <w:vertAlign w:val="superscript"/>
          <w:lang w:val="es-VE" w:eastAsia="en-US"/>
        </w:rPr>
        <w:t>1</w:t>
      </w:r>
      <w:r w:rsidR="0027245D" w:rsidRPr="0027245D">
        <w:rPr>
          <w:lang w:val="es-VE"/>
        </w:rPr>
        <w:t>Instituto Nacional de Higiene, Epidemiología y Microbiología, INHEM. La Habana, Cuba.</w:t>
      </w:r>
      <w:r w:rsidR="00593002">
        <w:rPr>
          <w:lang w:val="es-VE"/>
        </w:rPr>
        <w:t xml:space="preserve"> </w:t>
      </w:r>
      <w:hyperlink r:id="rId7" w:history="1">
        <w:r w:rsidR="00593002" w:rsidRPr="00897F7F">
          <w:rPr>
            <w:rStyle w:val="Hipervnculo"/>
            <w:lang w:val="es-VE"/>
          </w:rPr>
          <w:t>pinedacitalanroxana5@gmail.com</w:t>
        </w:r>
      </w:hyperlink>
      <w:r w:rsidR="00593002">
        <w:rPr>
          <w:lang w:val="es-VE"/>
        </w:rPr>
        <w:t xml:space="preserve">  </w:t>
      </w:r>
    </w:p>
    <w:p w14:paraId="1860C4F1" w14:textId="3993E7C9" w:rsidR="000350F0" w:rsidRDefault="000350F0">
      <w:pPr>
        <w:pStyle w:val="authorinfo"/>
        <w:rPr>
          <w:lang w:val="es-VE"/>
        </w:rPr>
      </w:pPr>
      <w:r w:rsidRPr="00E23A41">
        <w:rPr>
          <w:vertAlign w:val="superscript"/>
          <w:lang w:val="es-VE"/>
        </w:rPr>
        <w:t>2</w:t>
      </w:r>
      <w:r w:rsidR="0027245D" w:rsidRPr="0027245D">
        <w:rPr>
          <w:lang w:val="es-VE"/>
        </w:rPr>
        <w:t>Instituto Nacional de Higiene, Epidemiología y microbiología, INHEM. La Habana, Cuba.</w:t>
      </w:r>
      <w:r w:rsidR="0027245D">
        <w:rPr>
          <w:lang w:val="es-VE"/>
        </w:rPr>
        <w:t xml:space="preserve"> </w:t>
      </w:r>
    </w:p>
    <w:p w14:paraId="53701F53" w14:textId="4EDAAAE5" w:rsidR="009E6E21" w:rsidRDefault="009E6E21" w:rsidP="009E6E21">
      <w:pPr>
        <w:pStyle w:val="authorinfo"/>
        <w:rPr>
          <w:lang w:val="es-VE"/>
        </w:rPr>
      </w:pPr>
      <w:r>
        <w:rPr>
          <w:vertAlign w:val="superscript"/>
          <w:lang w:val="es-VE"/>
        </w:rPr>
        <w:t>3</w:t>
      </w:r>
      <w:r w:rsidRPr="00E23A41">
        <w:rPr>
          <w:snapToGrid w:val="0"/>
          <w:lang w:val="es-VE" w:eastAsia="en-US"/>
        </w:rPr>
        <w:t xml:space="preserve"> </w:t>
      </w:r>
      <w:r w:rsidR="00593002">
        <w:rPr>
          <w:lang w:val="es-VE"/>
        </w:rPr>
        <w:t>Centro Provincial de Higiene, Epidemiología y Microbiología, CPHEM. La Habana, Cuba</w:t>
      </w:r>
    </w:p>
    <w:p w14:paraId="55402DC7" w14:textId="5212D8F2" w:rsidR="00170F2A" w:rsidRDefault="00170F2A" w:rsidP="009E6E21">
      <w:pPr>
        <w:pStyle w:val="authorinfo"/>
        <w:rPr>
          <w:lang w:val="es-VE"/>
        </w:rPr>
      </w:pPr>
      <w:r>
        <w:rPr>
          <w:vertAlign w:val="superscript"/>
          <w:lang w:val="es-VE"/>
        </w:rPr>
        <w:t>4</w:t>
      </w:r>
      <w:r w:rsidRPr="0027245D">
        <w:rPr>
          <w:lang w:val="es-VE"/>
        </w:rPr>
        <w:t>Instituto Nacional de Higiene, Epidemiología y microbiología, INHEM. La Habana, Cuba.</w:t>
      </w:r>
    </w:p>
    <w:p w14:paraId="1CF48B9C" w14:textId="2C055AF0" w:rsidR="00170F2A" w:rsidRPr="00E23A41" w:rsidRDefault="00170F2A" w:rsidP="009E6E21">
      <w:pPr>
        <w:pStyle w:val="authorinfo"/>
        <w:rPr>
          <w:snapToGrid w:val="0"/>
          <w:lang w:val="es-VE" w:eastAsia="ja-JP"/>
        </w:rPr>
      </w:pPr>
      <w:r>
        <w:rPr>
          <w:vertAlign w:val="superscript"/>
          <w:lang w:val="es-VE"/>
        </w:rPr>
        <w:t>5</w:t>
      </w:r>
      <w:r w:rsidRPr="0027245D">
        <w:rPr>
          <w:lang w:val="es-VE"/>
        </w:rPr>
        <w:t>Instituto Nacional de Higiene, Epidemiología y microbiología, INHEM. La Habana, Cuba.</w:t>
      </w:r>
    </w:p>
    <w:p w14:paraId="2242D9FF" w14:textId="77777777" w:rsidR="000350F0" w:rsidRPr="00E23A41" w:rsidRDefault="000350F0" w:rsidP="00EF237D">
      <w:pPr>
        <w:ind w:firstLine="0"/>
        <w:rPr>
          <w:lang w:val="es-VE"/>
        </w:rPr>
        <w:sectPr w:rsidR="000350F0" w:rsidRPr="00E23A41">
          <w:headerReference w:type="even" r:id="rId8"/>
          <w:headerReference w:type="default" r:id="rId9"/>
          <w:type w:val="continuous"/>
          <w:pgSz w:w="11907" w:h="15819" w:code="218"/>
          <w:pgMar w:top="1417" w:right="794" w:bottom="2268" w:left="1077" w:header="850" w:footer="850" w:gutter="0"/>
          <w:cols w:space="708"/>
          <w:docGrid w:linePitch="360"/>
        </w:sectPr>
      </w:pPr>
    </w:p>
    <w:p w14:paraId="33B584EE" w14:textId="4978D7C8" w:rsidR="0027322E" w:rsidRPr="00F13AB4" w:rsidRDefault="0027322E" w:rsidP="00F13AB4">
      <w:pPr>
        <w:pStyle w:val="Encabezado"/>
        <w:jc w:val="both"/>
        <w:rPr>
          <w:b/>
          <w:sz w:val="24"/>
          <w:szCs w:val="24"/>
          <w:lang w:val="es-VE"/>
        </w:rPr>
      </w:pPr>
    </w:p>
    <w:p w14:paraId="607A49B6" w14:textId="69FBE577" w:rsidR="00537C6F" w:rsidRPr="0027245D" w:rsidRDefault="00537C6F" w:rsidP="00537C6F">
      <w:pPr>
        <w:pStyle w:val="abstract"/>
        <w:rPr>
          <w:b w:val="0"/>
          <w:sz w:val="24"/>
          <w:szCs w:val="24"/>
          <w:lang w:val="es-VE"/>
        </w:rPr>
      </w:pPr>
      <w:r w:rsidRPr="0000144B">
        <w:rPr>
          <w:i/>
          <w:sz w:val="24"/>
          <w:szCs w:val="24"/>
          <w:lang w:val="es-VE"/>
        </w:rPr>
        <w:t>Resumen</w:t>
      </w:r>
      <w:r>
        <w:rPr>
          <w:i/>
          <w:sz w:val="24"/>
          <w:szCs w:val="24"/>
          <w:lang w:val="es-VE"/>
        </w:rPr>
        <w:t>:</w:t>
      </w:r>
      <w:r w:rsidRPr="0027245D">
        <w:rPr>
          <w:bCs/>
          <w:sz w:val="24"/>
          <w:szCs w:val="24"/>
          <w:lang w:val="es-VE"/>
        </w:rPr>
        <w:t xml:space="preserve"> Introducción:</w:t>
      </w:r>
      <w:r w:rsidRPr="0027245D">
        <w:rPr>
          <w:b w:val="0"/>
          <w:sz w:val="24"/>
          <w:szCs w:val="24"/>
          <w:lang w:val="es-VE"/>
        </w:rPr>
        <w:t xml:space="preserve"> Las enfermedades cerebrovasculares como problema de salud en Cuba constituye una de las primeras causas de mortalidad y de años de vida potencialmente perdidos</w:t>
      </w:r>
      <w:r>
        <w:rPr>
          <w:b w:val="0"/>
          <w:sz w:val="24"/>
          <w:szCs w:val="24"/>
          <w:lang w:val="es-VE"/>
        </w:rPr>
        <w:t>.</w:t>
      </w:r>
      <w:r w:rsidRPr="0027245D">
        <w:rPr>
          <w:b w:val="0"/>
          <w:sz w:val="24"/>
          <w:szCs w:val="24"/>
          <w:lang w:val="es-VE"/>
        </w:rPr>
        <w:t xml:space="preserve"> Múltiples son los recursos que se implementa con el fin de atenuar las pérdidas de vidas humanas y el grado de invalidez que presenta para la calidad de vida y los recursos sanitarios que se requiere.</w:t>
      </w:r>
      <w:r w:rsidRPr="0027245D">
        <w:rPr>
          <w:bCs/>
          <w:sz w:val="24"/>
          <w:szCs w:val="24"/>
          <w:lang w:val="es-VE"/>
        </w:rPr>
        <w:t xml:space="preserve"> Objetivo:</w:t>
      </w:r>
      <w:r w:rsidRPr="0027245D">
        <w:rPr>
          <w:b w:val="0"/>
          <w:sz w:val="24"/>
          <w:szCs w:val="24"/>
          <w:lang w:val="es-VE"/>
        </w:rPr>
        <w:t xml:space="preserve"> Evaluar en sus tres dimensiones el Programa Nacional de Prevención y Control de las Enfermedades Cerebrovasculares expuestas en el anuario estadístico de salud del año 2023 </w:t>
      </w:r>
      <w:r w:rsidRPr="0027245D">
        <w:rPr>
          <w:bCs/>
          <w:sz w:val="24"/>
          <w:szCs w:val="24"/>
          <w:lang w:val="es-VE"/>
        </w:rPr>
        <w:t>Método:</w:t>
      </w:r>
      <w:r w:rsidRPr="0027245D">
        <w:rPr>
          <w:b w:val="0"/>
          <w:sz w:val="24"/>
          <w:szCs w:val="24"/>
          <w:lang w:val="es-VE"/>
        </w:rPr>
        <w:t xml:space="preserve"> Se realizó una evaluación de tipo táctica, que consiste en analizar el cumplimiento de indicadores en tres dimensiones: estructura, proceso y resultados, se tomó como referencia el enfoque planteado por </w:t>
      </w:r>
      <w:proofErr w:type="spellStart"/>
      <w:r w:rsidRPr="0027245D">
        <w:rPr>
          <w:b w:val="0"/>
          <w:sz w:val="24"/>
          <w:szCs w:val="24"/>
          <w:lang w:val="es-VE"/>
        </w:rPr>
        <w:t>Avedis</w:t>
      </w:r>
      <w:proofErr w:type="spellEnd"/>
      <w:r w:rsidRPr="0027245D">
        <w:rPr>
          <w:b w:val="0"/>
          <w:sz w:val="24"/>
          <w:szCs w:val="24"/>
          <w:lang w:val="es-VE"/>
        </w:rPr>
        <w:t xml:space="preserve"> Donabedian. La obtención de</w:t>
      </w:r>
      <w:r>
        <w:rPr>
          <w:b w:val="0"/>
          <w:sz w:val="24"/>
          <w:szCs w:val="24"/>
          <w:lang w:val="es-VE"/>
        </w:rPr>
        <w:t xml:space="preserve"> la</w:t>
      </w:r>
      <w:r w:rsidRPr="0027245D">
        <w:rPr>
          <w:b w:val="0"/>
          <w:sz w:val="24"/>
          <w:szCs w:val="24"/>
          <w:lang w:val="es-VE"/>
        </w:rPr>
        <w:t xml:space="preserve"> información se realiz</w:t>
      </w:r>
      <w:r>
        <w:rPr>
          <w:b w:val="0"/>
          <w:sz w:val="24"/>
          <w:szCs w:val="24"/>
          <w:lang w:val="es-VE"/>
        </w:rPr>
        <w:t xml:space="preserve">ó </w:t>
      </w:r>
      <w:r w:rsidRPr="0027245D">
        <w:rPr>
          <w:b w:val="0"/>
          <w:sz w:val="24"/>
          <w:szCs w:val="24"/>
          <w:lang w:val="es-VE"/>
        </w:rPr>
        <w:t xml:space="preserve">a través de revisión documental, registros estadísticos del anuario de salud del año 2023. </w:t>
      </w:r>
      <w:r w:rsidRPr="0027245D">
        <w:rPr>
          <w:bCs/>
          <w:sz w:val="24"/>
          <w:szCs w:val="24"/>
          <w:lang w:val="es-VE"/>
        </w:rPr>
        <w:t>Resultados</w:t>
      </w:r>
      <w:r>
        <w:rPr>
          <w:b w:val="0"/>
          <w:sz w:val="24"/>
          <w:szCs w:val="24"/>
          <w:lang w:val="es-VE"/>
        </w:rPr>
        <w:t>: La dimensión estructura</w:t>
      </w:r>
      <w:r w:rsidRPr="00E7264D">
        <w:t xml:space="preserve"> </w:t>
      </w:r>
      <w:r>
        <w:rPr>
          <w:b w:val="0"/>
          <w:sz w:val="24"/>
          <w:szCs w:val="24"/>
          <w:lang w:val="es-VE"/>
        </w:rPr>
        <w:t>no</w:t>
      </w:r>
      <w:r w:rsidRPr="00E7264D">
        <w:rPr>
          <w:b w:val="0"/>
          <w:sz w:val="24"/>
          <w:szCs w:val="24"/>
          <w:lang w:val="es-VE"/>
        </w:rPr>
        <w:t xml:space="preserve"> cuenta con los recursos humanos y materiales suficientes que lo categoricen como aceptable</w:t>
      </w:r>
      <w:r>
        <w:rPr>
          <w:b w:val="0"/>
          <w:sz w:val="24"/>
          <w:szCs w:val="24"/>
          <w:lang w:val="es-VE"/>
        </w:rPr>
        <w:t xml:space="preserve">, la dimensión proceso </w:t>
      </w:r>
      <w:r>
        <w:rPr>
          <w:b w:val="0"/>
          <w:sz w:val="24"/>
          <w:szCs w:val="24"/>
          <w:lang w:val="es-VE"/>
        </w:rPr>
        <w:t xml:space="preserve">se evaluó como </w:t>
      </w:r>
      <w:r w:rsidRPr="00E7264D">
        <w:rPr>
          <w:b w:val="0"/>
          <w:sz w:val="24"/>
          <w:szCs w:val="24"/>
          <w:lang w:val="es-VE"/>
        </w:rPr>
        <w:t>adecuad</w:t>
      </w:r>
      <w:r>
        <w:rPr>
          <w:b w:val="0"/>
          <w:sz w:val="24"/>
          <w:szCs w:val="24"/>
          <w:lang w:val="es-VE"/>
        </w:rPr>
        <w:t xml:space="preserve">a, la dimensión resultado fue no aceptable. </w:t>
      </w:r>
      <w:r w:rsidRPr="0027245D">
        <w:rPr>
          <w:bCs/>
          <w:sz w:val="24"/>
          <w:szCs w:val="24"/>
          <w:lang w:val="es-VE"/>
        </w:rPr>
        <w:t>Conclusión:</w:t>
      </w:r>
      <w:r w:rsidRPr="0027245D">
        <w:rPr>
          <w:b w:val="0"/>
          <w:sz w:val="24"/>
          <w:szCs w:val="24"/>
          <w:lang w:val="es-VE"/>
        </w:rPr>
        <w:t xml:space="preserve"> </w:t>
      </w:r>
      <w:r w:rsidRPr="005641CD">
        <w:rPr>
          <w:b w:val="0"/>
          <w:sz w:val="24"/>
          <w:szCs w:val="24"/>
          <w:lang w:val="es-VE"/>
        </w:rPr>
        <w:t xml:space="preserve">La evaluación </w:t>
      </w:r>
      <w:r>
        <w:rPr>
          <w:b w:val="0"/>
          <w:sz w:val="24"/>
          <w:szCs w:val="24"/>
          <w:lang w:val="es-VE"/>
        </w:rPr>
        <w:t xml:space="preserve">general </w:t>
      </w:r>
      <w:r w:rsidRPr="005641CD">
        <w:rPr>
          <w:b w:val="0"/>
          <w:sz w:val="24"/>
          <w:szCs w:val="24"/>
          <w:lang w:val="es-VE"/>
        </w:rPr>
        <w:t>del Programa Nacional de Prevención y Control de las Enfermedades Cerebrovasculares se consideró no satisfactoria. Por lo que aquellos criterios de las dimensiones de estructura, proceso y resultado fueron no adecuados</w:t>
      </w:r>
    </w:p>
    <w:p w14:paraId="7BFCF10B" w14:textId="77777777" w:rsidR="0027245D" w:rsidRDefault="0027245D">
      <w:pPr>
        <w:pStyle w:val="keywords"/>
        <w:rPr>
          <w:rStyle w:val="italic"/>
          <w:sz w:val="24"/>
          <w:szCs w:val="24"/>
          <w:lang w:val="es-VE"/>
        </w:rPr>
      </w:pPr>
      <w:r>
        <w:rPr>
          <w:rStyle w:val="italic"/>
          <w:sz w:val="24"/>
          <w:szCs w:val="24"/>
          <w:lang w:val="es-VE"/>
        </w:rPr>
        <w:t xml:space="preserve">  </w:t>
      </w:r>
    </w:p>
    <w:p w14:paraId="47F56BE3" w14:textId="3514DA06" w:rsidR="000350F0" w:rsidRPr="00EE1B33" w:rsidRDefault="000677AF">
      <w:pPr>
        <w:pStyle w:val="keywords"/>
        <w:rPr>
          <w:snapToGrid w:val="0"/>
          <w:sz w:val="24"/>
          <w:szCs w:val="24"/>
          <w:lang w:val="es-VE" w:eastAsia="ja-JP"/>
        </w:rPr>
      </w:pPr>
      <w:r w:rsidRPr="0000144B">
        <w:rPr>
          <w:rStyle w:val="italic"/>
          <w:sz w:val="24"/>
          <w:szCs w:val="24"/>
          <w:lang w:val="es-VE"/>
        </w:rPr>
        <w:t>Palabras clave</w:t>
      </w:r>
      <w:r w:rsidR="007D1ED3">
        <w:rPr>
          <w:rStyle w:val="italic"/>
          <w:sz w:val="24"/>
          <w:szCs w:val="24"/>
          <w:lang w:val="es-VE"/>
        </w:rPr>
        <w:t>:</w:t>
      </w:r>
      <w:r w:rsidR="000350F0" w:rsidRPr="00EE1B33">
        <w:rPr>
          <w:sz w:val="24"/>
          <w:szCs w:val="24"/>
          <w:lang w:val="es-VE"/>
        </w:rPr>
        <w:t xml:space="preserve"> </w:t>
      </w:r>
      <w:r w:rsidR="0027245D" w:rsidRPr="0027245D">
        <w:rPr>
          <w:sz w:val="24"/>
          <w:szCs w:val="24"/>
          <w:lang w:val="es-VE"/>
        </w:rPr>
        <w:t>Enfermedad cerebrovascular, evaluación táctica, dimensiones</w:t>
      </w:r>
    </w:p>
    <w:p w14:paraId="2D38ABC6" w14:textId="77777777" w:rsidR="000350F0" w:rsidRPr="0075620A" w:rsidRDefault="005817C0">
      <w:pPr>
        <w:pStyle w:val="heading1"/>
        <w:rPr>
          <w:rStyle w:val="AbsatzNormal"/>
          <w:sz w:val="24"/>
          <w:szCs w:val="24"/>
        </w:rPr>
      </w:pPr>
      <w:r>
        <w:rPr>
          <w:rStyle w:val="initial12"/>
        </w:rPr>
        <w:br w:type="page"/>
      </w:r>
      <w:r w:rsidR="000350F0" w:rsidRPr="0075620A">
        <w:rPr>
          <w:rStyle w:val="initial12"/>
        </w:rPr>
        <w:lastRenderedPageBreak/>
        <w:t>I</w:t>
      </w:r>
      <w:r w:rsidR="000350F0" w:rsidRPr="0075620A">
        <w:rPr>
          <w:sz w:val="24"/>
          <w:szCs w:val="24"/>
        </w:rPr>
        <w:t>NTRODUC</w:t>
      </w:r>
      <w:r w:rsidR="000677AF" w:rsidRPr="0075620A">
        <w:rPr>
          <w:sz w:val="24"/>
          <w:szCs w:val="24"/>
        </w:rPr>
        <w:t>CIó</w:t>
      </w:r>
      <w:r w:rsidR="000350F0" w:rsidRPr="0075620A">
        <w:rPr>
          <w:sz w:val="24"/>
          <w:szCs w:val="24"/>
        </w:rPr>
        <w:t xml:space="preserve">N </w:t>
      </w:r>
    </w:p>
    <w:p w14:paraId="02309A8A" w14:textId="5AFD75E5" w:rsidR="00B24CC3" w:rsidRPr="00B24CC3" w:rsidRDefault="00B24CC3" w:rsidP="00B24CC3">
      <w:pPr>
        <w:rPr>
          <w:bCs/>
          <w:sz w:val="24"/>
          <w:szCs w:val="24"/>
          <w:vertAlign w:val="superscript"/>
          <w:lang w:val="es-VE"/>
        </w:rPr>
      </w:pPr>
      <w:r w:rsidRPr="00B24CC3">
        <w:rPr>
          <w:bCs/>
          <w:sz w:val="24"/>
          <w:szCs w:val="24"/>
          <w:lang w:val="es-VE"/>
        </w:rPr>
        <w:t>Según la Organización Mundial de la Salud (OMS) más de 40 millones de personas fallecen anualmente por E</w:t>
      </w:r>
      <w:r w:rsidR="00266E9A">
        <w:rPr>
          <w:bCs/>
          <w:sz w:val="24"/>
          <w:szCs w:val="24"/>
          <w:lang w:val="es-VE"/>
        </w:rPr>
        <w:t>nfermedades Crónicas No Transmisibles (E</w:t>
      </w:r>
      <w:r w:rsidRPr="00B24CC3">
        <w:rPr>
          <w:bCs/>
          <w:sz w:val="24"/>
          <w:szCs w:val="24"/>
          <w:lang w:val="es-VE"/>
        </w:rPr>
        <w:t>CNT</w:t>
      </w:r>
      <w:r w:rsidR="00266E9A">
        <w:rPr>
          <w:bCs/>
          <w:sz w:val="24"/>
          <w:szCs w:val="24"/>
          <w:lang w:val="es-VE"/>
        </w:rPr>
        <w:t>)</w:t>
      </w:r>
      <w:r w:rsidRPr="00B24CC3">
        <w:rPr>
          <w:bCs/>
          <w:sz w:val="24"/>
          <w:szCs w:val="24"/>
          <w:lang w:val="es-VE"/>
        </w:rPr>
        <w:t>. Las enfermedades cerebrovasculares son eventos agudos ya que estos obstruyen e imposibilitan la circulación de sangre hacia el cerebro y el corazón. L</w:t>
      </w:r>
      <w:r>
        <w:rPr>
          <w:bCs/>
          <w:sz w:val="24"/>
          <w:szCs w:val="24"/>
          <w:lang w:val="es-VE"/>
        </w:rPr>
        <w:t xml:space="preserve">as enfermedades </w:t>
      </w:r>
      <w:r w:rsidRPr="00B24CC3">
        <w:rPr>
          <w:bCs/>
          <w:sz w:val="24"/>
          <w:szCs w:val="24"/>
          <w:lang w:val="es-VE"/>
        </w:rPr>
        <w:t>cerebrovasculares (</w:t>
      </w:r>
      <w:r>
        <w:rPr>
          <w:bCs/>
          <w:sz w:val="24"/>
          <w:szCs w:val="24"/>
          <w:lang w:val="es-VE"/>
        </w:rPr>
        <w:t>E</w:t>
      </w:r>
      <w:r w:rsidRPr="00B24CC3">
        <w:rPr>
          <w:bCs/>
          <w:sz w:val="24"/>
          <w:szCs w:val="24"/>
          <w:lang w:val="es-VE"/>
        </w:rPr>
        <w:t>CV) son la tercera causa de mortalidad, la segunda que causa discapacidad en el adulto y la segunda en causar demencia a nivel mundial.</w:t>
      </w:r>
      <w:r>
        <w:rPr>
          <w:bCs/>
          <w:sz w:val="24"/>
          <w:szCs w:val="24"/>
          <w:vertAlign w:val="superscript"/>
          <w:lang w:val="es-VE"/>
        </w:rPr>
        <w:t>1-3</w:t>
      </w:r>
    </w:p>
    <w:p w14:paraId="26DB2155" w14:textId="69AA56F6" w:rsidR="00B24CC3" w:rsidRPr="00B24CC3" w:rsidRDefault="00B24CC3" w:rsidP="00B24CC3">
      <w:pPr>
        <w:rPr>
          <w:bCs/>
          <w:sz w:val="24"/>
          <w:szCs w:val="24"/>
          <w:vertAlign w:val="superscript"/>
          <w:lang w:val="es-VE"/>
        </w:rPr>
      </w:pPr>
      <w:r w:rsidRPr="00B24CC3">
        <w:rPr>
          <w:bCs/>
          <w:sz w:val="24"/>
          <w:szCs w:val="24"/>
          <w:lang w:val="es-VE"/>
        </w:rPr>
        <w:t>En la región de las Américas fallecen 2,2 millones de personas por ECNT</w:t>
      </w:r>
      <w:r w:rsidR="00266E9A">
        <w:rPr>
          <w:bCs/>
          <w:sz w:val="24"/>
          <w:szCs w:val="24"/>
          <w:lang w:val="es-VE"/>
        </w:rPr>
        <w:t xml:space="preserve"> </w:t>
      </w:r>
      <w:r w:rsidRPr="00B24CC3">
        <w:rPr>
          <w:bCs/>
          <w:sz w:val="24"/>
          <w:szCs w:val="24"/>
          <w:lang w:val="es-VE"/>
        </w:rPr>
        <w:t>antes de cumplir 70 años. Anualmente mueren 15 millones en edades de 30 a 69 años; Más del 85% de estos fallecimientos prematuros ocurren en países de ingresos bajos y medianos.</w:t>
      </w:r>
      <w:r>
        <w:rPr>
          <w:bCs/>
          <w:sz w:val="24"/>
          <w:szCs w:val="24"/>
          <w:vertAlign w:val="superscript"/>
          <w:lang w:val="es-VE"/>
        </w:rPr>
        <w:t>2,3</w:t>
      </w:r>
    </w:p>
    <w:p w14:paraId="1931F0B7" w14:textId="325685CE" w:rsidR="001A315B" w:rsidRPr="001A315B" w:rsidRDefault="001A315B" w:rsidP="001A315B">
      <w:pPr>
        <w:rPr>
          <w:bCs/>
          <w:sz w:val="24"/>
          <w:szCs w:val="24"/>
          <w:lang w:val="es-VE"/>
        </w:rPr>
      </w:pPr>
      <w:r w:rsidRPr="001A315B">
        <w:rPr>
          <w:bCs/>
          <w:sz w:val="24"/>
          <w:szCs w:val="24"/>
          <w:lang w:val="es-VE"/>
        </w:rPr>
        <w:t>En Cuba es alarmante y preocupante la morbilidad y la mortalidad por ECNT</w:t>
      </w:r>
      <w:r w:rsidR="00B24CC3">
        <w:rPr>
          <w:bCs/>
          <w:sz w:val="24"/>
          <w:szCs w:val="24"/>
          <w:lang w:val="es-VE"/>
        </w:rPr>
        <w:t xml:space="preserve"> </w:t>
      </w:r>
      <w:r w:rsidRPr="001A315B">
        <w:rPr>
          <w:bCs/>
          <w:sz w:val="24"/>
          <w:szCs w:val="24"/>
          <w:lang w:val="es-VE"/>
        </w:rPr>
        <w:t>se aumenta prácticamente de forma anual a nivel exponencial, no solo por el envejecimiento poblacional, sino que existe una alza en edades muy activas de la vida. En el territorio cubano las ECNT son la principal causa de años de vida potencialmente perdidos (AVPP) y representan más del 75 % de las muertes, lo cual se asocia a una significativa carga de enfermedad y necesidad de utilización de recursos sanitarios. Las enfermedades cerebrovasculares (ECV) constituyen uno de los problemas de salud más importantes en todos los países desarrollados, donde Cuba no se encuentra exento de esto. Múltiples son los recursos que se emplean con el fin de atenuar las pérdidas de vidas humanas que alcanzan niveles considerables cada año, y el grado de invalidez que presentan estos pacientes.</w:t>
      </w:r>
      <w:r w:rsidR="00EF237D">
        <w:rPr>
          <w:bCs/>
          <w:sz w:val="24"/>
          <w:szCs w:val="24"/>
          <w:vertAlign w:val="superscript"/>
          <w:lang w:val="es-VE"/>
        </w:rPr>
        <w:t>1-3</w:t>
      </w:r>
      <w:r w:rsidRPr="001A315B">
        <w:t xml:space="preserve"> </w:t>
      </w:r>
      <w:r>
        <w:rPr>
          <w:bCs/>
          <w:sz w:val="24"/>
          <w:szCs w:val="24"/>
          <w:lang w:val="es-VE"/>
        </w:rPr>
        <w:t>L</w:t>
      </w:r>
      <w:r w:rsidRPr="001A315B">
        <w:rPr>
          <w:bCs/>
          <w:sz w:val="24"/>
          <w:szCs w:val="24"/>
          <w:lang w:val="es-VE"/>
        </w:rPr>
        <w:t>as ECV son la tercera causa de muerte, en las últimas tres décadas se observa un ascenso de estas en tasas brutas, detectando una tendencia al desplazamiento de la muerte debido a estas causas hacia edades más tempranas de la vida. Por lo tanto, la realización de esta investigación tiene el propósito de identificar las principales debilidades en la ejecución del programa.</w:t>
      </w:r>
      <w:r w:rsidR="00EF237D">
        <w:rPr>
          <w:bCs/>
          <w:sz w:val="24"/>
          <w:szCs w:val="24"/>
          <w:vertAlign w:val="superscript"/>
          <w:lang w:val="es-VE"/>
        </w:rPr>
        <w:t>4-7</w:t>
      </w:r>
    </w:p>
    <w:p w14:paraId="5D227C53" w14:textId="50D7188B" w:rsidR="001A315B" w:rsidRPr="00B24CC3" w:rsidRDefault="001A315B" w:rsidP="00B24CC3">
      <w:pPr>
        <w:rPr>
          <w:bCs/>
          <w:sz w:val="24"/>
          <w:szCs w:val="24"/>
          <w:lang w:val="es-ES"/>
        </w:rPr>
      </w:pPr>
      <w:r w:rsidRPr="001A315B">
        <w:rPr>
          <w:bCs/>
          <w:sz w:val="24"/>
          <w:szCs w:val="24"/>
          <w:lang w:val="es-VE"/>
        </w:rPr>
        <w:t>En el contexto cubano se desconoce la calidad en la ejecución del Programa Nacional de Prevención y Control de las Enfermedades Cerebrovasculares expuestas en el anuario estadístico de salud del año 2023 por lo cual</w:t>
      </w:r>
      <w:r>
        <w:rPr>
          <w:bCs/>
          <w:sz w:val="24"/>
          <w:szCs w:val="24"/>
          <w:lang w:val="es-VE"/>
        </w:rPr>
        <w:t>,</w:t>
      </w:r>
      <w:r w:rsidRPr="001A315B">
        <w:rPr>
          <w:bCs/>
          <w:sz w:val="24"/>
          <w:szCs w:val="24"/>
          <w:lang w:val="es-VE"/>
        </w:rPr>
        <w:t xml:space="preserve"> </w:t>
      </w:r>
      <w:r>
        <w:rPr>
          <w:bCs/>
          <w:sz w:val="24"/>
          <w:szCs w:val="24"/>
          <w:lang w:val="es-VE"/>
        </w:rPr>
        <w:t xml:space="preserve">se tiene como objetivo: </w:t>
      </w:r>
      <w:r w:rsidRPr="001A315B">
        <w:rPr>
          <w:bCs/>
          <w:sz w:val="24"/>
          <w:szCs w:val="24"/>
          <w:lang w:val="es-ES"/>
        </w:rPr>
        <w:t>Evaluar el Programa Nacional de Prevención y Control de las Enfermedades Cerebrovasculares expuestas en el anuario estadístico de salud del año 2023</w:t>
      </w:r>
      <w:r>
        <w:rPr>
          <w:bCs/>
          <w:sz w:val="24"/>
          <w:szCs w:val="24"/>
          <w:lang w:val="es-ES"/>
        </w:rPr>
        <w:t xml:space="preserve"> en sus tres dimensiones estructura, proceso y resultados. </w:t>
      </w:r>
    </w:p>
    <w:p w14:paraId="21526E0A" w14:textId="77777777" w:rsidR="000350F0" w:rsidRDefault="007D1ED3">
      <w:pPr>
        <w:pStyle w:val="heading1"/>
        <w:rPr>
          <w:rStyle w:val="initial12"/>
          <w:lang w:val="es-VE"/>
        </w:rPr>
      </w:pPr>
      <w:r>
        <w:rPr>
          <w:rStyle w:val="initial12"/>
          <w:lang w:val="es-VE"/>
        </w:rPr>
        <w:t>Material y método</w:t>
      </w:r>
    </w:p>
    <w:p w14:paraId="40C0FE1F" w14:textId="77777777" w:rsidR="00537C6F" w:rsidRDefault="00537C6F" w:rsidP="00537C6F">
      <w:pPr>
        <w:rPr>
          <w:sz w:val="24"/>
          <w:szCs w:val="24"/>
          <w:lang w:val="es-ES"/>
        </w:rPr>
      </w:pPr>
      <w:r w:rsidRPr="0089580E">
        <w:rPr>
          <w:sz w:val="24"/>
          <w:szCs w:val="24"/>
          <w:lang w:val="es-ES"/>
        </w:rPr>
        <w:t>Se realizó una evaluación de tipo táctica</w:t>
      </w:r>
      <w:r>
        <w:rPr>
          <w:sz w:val="24"/>
          <w:szCs w:val="24"/>
          <w:lang w:val="es-ES"/>
        </w:rPr>
        <w:t xml:space="preserve"> </w:t>
      </w:r>
      <w:r w:rsidRPr="0089580E">
        <w:rPr>
          <w:sz w:val="24"/>
          <w:szCs w:val="24"/>
          <w:lang w:val="es-ES"/>
        </w:rPr>
        <w:t xml:space="preserve">en sistemas y servicios de salud con el propósito de evaluar la calidad de la atención a pacientes con enfermedad </w:t>
      </w:r>
      <w:r w:rsidRPr="00E95511">
        <w:rPr>
          <w:sz w:val="24"/>
          <w:szCs w:val="24"/>
          <w:lang w:val="es-ES"/>
        </w:rPr>
        <w:t xml:space="preserve">cerebrovascular </w:t>
      </w:r>
      <w:r>
        <w:rPr>
          <w:sz w:val="24"/>
          <w:szCs w:val="24"/>
          <w:lang w:val="es-ES"/>
        </w:rPr>
        <w:t>utilizando como fuentes de información e</w:t>
      </w:r>
      <w:r w:rsidRPr="0089580E">
        <w:rPr>
          <w:sz w:val="24"/>
          <w:szCs w:val="24"/>
          <w:lang w:val="es-ES"/>
        </w:rPr>
        <w:t>l anuario estadístico de Cuba perteneciente al año 2023, para lo cual se construyeron criterios, indicadores y estándares.</w:t>
      </w:r>
      <w:r>
        <w:rPr>
          <w:sz w:val="24"/>
          <w:szCs w:val="24"/>
          <w:lang w:val="es-ES"/>
        </w:rPr>
        <w:t xml:space="preserve"> </w:t>
      </w:r>
      <w:r w:rsidRPr="0089580E">
        <w:rPr>
          <w:sz w:val="24"/>
          <w:szCs w:val="24"/>
          <w:lang w:val="es-ES"/>
        </w:rPr>
        <w:t>La</w:t>
      </w:r>
      <w:r>
        <w:rPr>
          <w:sz w:val="24"/>
          <w:szCs w:val="24"/>
          <w:lang w:val="es-ES"/>
        </w:rPr>
        <w:t>s</w:t>
      </w:r>
      <w:r w:rsidRPr="0089580E">
        <w:rPr>
          <w:sz w:val="24"/>
          <w:szCs w:val="24"/>
          <w:lang w:val="es-ES"/>
        </w:rPr>
        <w:t xml:space="preserve"> fuente</w:t>
      </w:r>
      <w:r>
        <w:rPr>
          <w:sz w:val="24"/>
          <w:szCs w:val="24"/>
          <w:lang w:val="es-ES"/>
        </w:rPr>
        <w:t>s</w:t>
      </w:r>
      <w:r w:rsidRPr="0089580E">
        <w:rPr>
          <w:sz w:val="24"/>
          <w:szCs w:val="24"/>
          <w:lang w:val="es-ES"/>
        </w:rPr>
        <w:t xml:space="preserve"> de obtención de información se realizaron a través de los registros estadísticos del anuario de salud de 2023. Los resultados tributaron a las dimensiones de estructura, proceso y resultado</w:t>
      </w:r>
      <w:r>
        <w:rPr>
          <w:sz w:val="24"/>
          <w:szCs w:val="24"/>
          <w:lang w:val="es-ES"/>
        </w:rPr>
        <w:t xml:space="preserve"> según el enfoque de </w:t>
      </w:r>
      <w:proofErr w:type="spellStart"/>
      <w:r>
        <w:rPr>
          <w:sz w:val="24"/>
          <w:szCs w:val="24"/>
          <w:lang w:val="es-ES"/>
        </w:rPr>
        <w:t>Avedis</w:t>
      </w:r>
      <w:proofErr w:type="spellEnd"/>
      <w:r>
        <w:rPr>
          <w:sz w:val="24"/>
          <w:szCs w:val="24"/>
          <w:lang w:val="es-ES"/>
        </w:rPr>
        <w:t xml:space="preserve"> Donabedian</w:t>
      </w:r>
      <w:r w:rsidRPr="0089580E">
        <w:rPr>
          <w:sz w:val="24"/>
          <w:szCs w:val="24"/>
          <w:lang w:val="es-ES"/>
        </w:rPr>
        <w:t>.</w:t>
      </w:r>
    </w:p>
    <w:p w14:paraId="46E1BB23" w14:textId="77777777" w:rsidR="00537C6F" w:rsidRPr="0089580E" w:rsidRDefault="00537C6F" w:rsidP="00537C6F">
      <w:pPr>
        <w:rPr>
          <w:sz w:val="24"/>
          <w:szCs w:val="24"/>
          <w:lang w:val="es-MX"/>
        </w:rPr>
      </w:pPr>
      <w:r w:rsidRPr="0089580E">
        <w:rPr>
          <w:sz w:val="24"/>
          <w:szCs w:val="24"/>
          <w:lang w:val="es-MX"/>
        </w:rPr>
        <w:t xml:space="preserve">En la dimensión estructura, se estudió todo lo referente a cobertura y disponibilidad de recursos humanos y materiales. Se diseñaron </w:t>
      </w:r>
      <w:r>
        <w:rPr>
          <w:sz w:val="24"/>
          <w:szCs w:val="24"/>
          <w:lang w:val="es-MX"/>
        </w:rPr>
        <w:t>cuatro</w:t>
      </w:r>
      <w:r w:rsidRPr="0089580E">
        <w:rPr>
          <w:sz w:val="24"/>
          <w:szCs w:val="24"/>
          <w:lang w:val="es-MX"/>
        </w:rPr>
        <w:t xml:space="preserve"> criterios y todos fueron consideraron como esenciales. Por tanto, se evaluó la estructura de suficiente, si todos los criterios esenciales fueron evaluados como tal; e insuficiente, si no cumplía con el estándar señalado.</w:t>
      </w:r>
    </w:p>
    <w:p w14:paraId="5CD4F951" w14:textId="1E13575D" w:rsidR="00537C6F" w:rsidRDefault="00E5772A" w:rsidP="00537C6F">
      <w:pPr>
        <w:rPr>
          <w:sz w:val="24"/>
          <w:szCs w:val="24"/>
          <w:lang w:val="es-MX"/>
        </w:rPr>
      </w:pPr>
      <w:r w:rsidRPr="0089580E">
        <w:rPr>
          <w:sz w:val="24"/>
          <w:szCs w:val="24"/>
          <w:lang w:val="es-MX"/>
        </w:rPr>
        <w:t>En la dimensión proceso, se analizaron criterios relacionados la atención brindada en consulta externa en la atención primaria de salud (APS), donde se consideró adecuado y no adecuado</w:t>
      </w:r>
      <w:r w:rsidR="00537C6F" w:rsidRPr="0089580E">
        <w:rPr>
          <w:sz w:val="24"/>
          <w:szCs w:val="24"/>
          <w:lang w:val="es-MX"/>
        </w:rPr>
        <w:t xml:space="preserve">. Mientras que, en la </w:t>
      </w:r>
      <w:r w:rsidR="00537C6F" w:rsidRPr="0089580E">
        <w:rPr>
          <w:sz w:val="24"/>
          <w:szCs w:val="24"/>
          <w:lang w:val="es-MX"/>
        </w:rPr>
        <w:lastRenderedPageBreak/>
        <w:t>dimensión resultados, se estudiaron los criterios referentes a la mortalidad, mortalidad prematura, mortalidad por tipo de ECV. Se consideró aceptable y no aceptable en la evaluación de esta dimensión.</w:t>
      </w:r>
    </w:p>
    <w:p w14:paraId="1F427923" w14:textId="0D8EB582" w:rsidR="00537C6F" w:rsidRDefault="00537C6F" w:rsidP="00537C6F">
      <w:pPr>
        <w:rPr>
          <w:sz w:val="24"/>
          <w:szCs w:val="24"/>
          <w:lang w:val="es-MX"/>
        </w:rPr>
      </w:pPr>
      <w:r w:rsidRPr="00D74C4C">
        <w:rPr>
          <w:sz w:val="24"/>
          <w:szCs w:val="24"/>
          <w:lang w:val="es-ES"/>
        </w:rPr>
        <w:t>Las fuentes de recolección, técnicas de análisis y procesamiento de la información</w:t>
      </w:r>
      <w:r>
        <w:rPr>
          <w:sz w:val="24"/>
          <w:szCs w:val="24"/>
          <w:lang w:val="es-ES"/>
        </w:rPr>
        <w:t xml:space="preserve"> </w:t>
      </w:r>
      <w:r w:rsidRPr="00E95511">
        <w:rPr>
          <w:sz w:val="24"/>
          <w:szCs w:val="24"/>
          <w:lang w:val="es-ES"/>
        </w:rPr>
        <w:t>se realiz</w:t>
      </w:r>
      <w:r>
        <w:rPr>
          <w:sz w:val="24"/>
          <w:szCs w:val="24"/>
          <w:lang w:val="es-ES"/>
        </w:rPr>
        <w:t xml:space="preserve">aron </w:t>
      </w:r>
      <w:r w:rsidRPr="0089580E">
        <w:rPr>
          <w:sz w:val="24"/>
          <w:szCs w:val="24"/>
          <w:lang w:val="es-MX"/>
        </w:rPr>
        <w:t xml:space="preserve">mediante </w:t>
      </w:r>
      <w:r>
        <w:rPr>
          <w:sz w:val="24"/>
          <w:szCs w:val="24"/>
          <w:lang w:val="es-MX"/>
        </w:rPr>
        <w:t xml:space="preserve">revisión documental, </w:t>
      </w:r>
      <w:r w:rsidRPr="0089580E">
        <w:rPr>
          <w:sz w:val="24"/>
          <w:szCs w:val="24"/>
          <w:lang w:val="es-MX"/>
        </w:rPr>
        <w:t xml:space="preserve">estadísticas ofrecidas en el Anuario Estadístico de Salud y Anuario Demográfico del año 2023. La información, se analizó y procesó mediante el paquete de Microsoft Word y Excel 2019. </w:t>
      </w:r>
    </w:p>
    <w:p w14:paraId="3DACA364" w14:textId="021EDC8D" w:rsidR="00537C6F" w:rsidRPr="00537C6F" w:rsidRDefault="00537C6F" w:rsidP="00537C6F">
      <w:pPr>
        <w:rPr>
          <w:sz w:val="24"/>
          <w:szCs w:val="24"/>
          <w:lang w:val="es-VE"/>
        </w:rPr>
      </w:pPr>
      <w:r w:rsidRPr="003011F1">
        <w:rPr>
          <w:sz w:val="24"/>
          <w:szCs w:val="24"/>
          <w:lang w:val="es-MX"/>
        </w:rPr>
        <w:t>Se procedió a la selección de los criterios, indicadores y estándares correspondientes a las dimensiones. En la evaluación de cada dimensión se comparó el estándar de cada criterio con sus resultados y se evaluó de satisfactoria o no satisfactoria, adecuada o no adecuada, aceptable o no aceptable (todas variables cualitativas nominal dicotómica), según las normas establecidas. La medida de resumen para las</w:t>
      </w:r>
      <w:r>
        <w:rPr>
          <w:sz w:val="24"/>
          <w:szCs w:val="24"/>
          <w:lang w:val="es-MX"/>
        </w:rPr>
        <w:t xml:space="preserve"> </w:t>
      </w:r>
      <w:r w:rsidRPr="00633B25">
        <w:rPr>
          <w:rStyle w:val="AbsatzNormal"/>
          <w:sz w:val="24"/>
          <w:szCs w:val="24"/>
          <w:lang w:val="es-VE"/>
        </w:rPr>
        <w:t>variables cualitativas fue el porciento (%). Se evalu</w:t>
      </w:r>
      <w:r>
        <w:rPr>
          <w:rStyle w:val="AbsatzNormal"/>
          <w:sz w:val="24"/>
          <w:szCs w:val="24"/>
          <w:lang w:val="es-VE"/>
        </w:rPr>
        <w:t>ó</w:t>
      </w:r>
      <w:r w:rsidRPr="00633B25">
        <w:rPr>
          <w:rStyle w:val="AbsatzNormal"/>
          <w:sz w:val="24"/>
          <w:szCs w:val="24"/>
          <w:lang w:val="es-VE"/>
        </w:rPr>
        <w:t xml:space="preserve"> </w:t>
      </w:r>
      <w:r>
        <w:rPr>
          <w:rStyle w:val="AbsatzNormal"/>
          <w:sz w:val="24"/>
          <w:szCs w:val="24"/>
          <w:lang w:val="es-VE"/>
        </w:rPr>
        <w:t>ocho</w:t>
      </w:r>
      <w:r w:rsidRPr="00633B25">
        <w:rPr>
          <w:rStyle w:val="AbsatzNormal"/>
          <w:sz w:val="24"/>
          <w:szCs w:val="24"/>
          <w:lang w:val="es-VE"/>
        </w:rPr>
        <w:t xml:space="preserve"> indicadores en total, de ellos </w:t>
      </w:r>
      <w:r>
        <w:rPr>
          <w:rStyle w:val="AbsatzNormal"/>
          <w:sz w:val="24"/>
          <w:szCs w:val="24"/>
          <w:lang w:val="es-VE"/>
        </w:rPr>
        <w:t>cuatro</w:t>
      </w:r>
      <w:r w:rsidRPr="00633B25">
        <w:rPr>
          <w:rStyle w:val="AbsatzNormal"/>
          <w:sz w:val="24"/>
          <w:szCs w:val="24"/>
          <w:lang w:val="es-VE"/>
        </w:rPr>
        <w:t xml:space="preserve"> evaluaron la dimensión </w:t>
      </w:r>
      <w:r>
        <w:rPr>
          <w:rStyle w:val="AbsatzNormal"/>
          <w:sz w:val="24"/>
          <w:szCs w:val="24"/>
          <w:lang w:val="es-VE"/>
        </w:rPr>
        <w:t>e</w:t>
      </w:r>
      <w:r w:rsidRPr="00633B25">
        <w:rPr>
          <w:rStyle w:val="AbsatzNormal"/>
          <w:sz w:val="24"/>
          <w:szCs w:val="24"/>
          <w:lang w:val="es-VE"/>
        </w:rPr>
        <w:t xml:space="preserve">structura, </w:t>
      </w:r>
      <w:r>
        <w:rPr>
          <w:rStyle w:val="AbsatzNormal"/>
          <w:sz w:val="24"/>
          <w:szCs w:val="24"/>
          <w:lang w:val="es-VE"/>
        </w:rPr>
        <w:t>uno</w:t>
      </w:r>
      <w:r w:rsidRPr="00633B25">
        <w:rPr>
          <w:rStyle w:val="AbsatzNormal"/>
          <w:sz w:val="24"/>
          <w:szCs w:val="24"/>
          <w:lang w:val="es-VE"/>
        </w:rPr>
        <w:t xml:space="preserve"> la dimensión </w:t>
      </w:r>
      <w:r>
        <w:rPr>
          <w:rStyle w:val="AbsatzNormal"/>
          <w:sz w:val="24"/>
          <w:szCs w:val="24"/>
          <w:lang w:val="es-VE"/>
        </w:rPr>
        <w:t>p</w:t>
      </w:r>
      <w:r w:rsidRPr="00633B25">
        <w:rPr>
          <w:rStyle w:val="AbsatzNormal"/>
          <w:sz w:val="24"/>
          <w:szCs w:val="24"/>
          <w:lang w:val="es-VE"/>
        </w:rPr>
        <w:t xml:space="preserve">roceso, y </w:t>
      </w:r>
      <w:r>
        <w:rPr>
          <w:rStyle w:val="AbsatzNormal"/>
          <w:sz w:val="24"/>
          <w:szCs w:val="24"/>
          <w:lang w:val="es-VE"/>
        </w:rPr>
        <w:t>tres</w:t>
      </w:r>
      <w:r w:rsidRPr="00633B25">
        <w:rPr>
          <w:rStyle w:val="AbsatzNormal"/>
          <w:sz w:val="24"/>
          <w:szCs w:val="24"/>
          <w:lang w:val="es-VE"/>
        </w:rPr>
        <w:t xml:space="preserve"> la dimensión </w:t>
      </w:r>
      <w:r>
        <w:rPr>
          <w:rStyle w:val="AbsatzNormal"/>
          <w:sz w:val="24"/>
          <w:szCs w:val="24"/>
          <w:lang w:val="es-VE"/>
        </w:rPr>
        <w:t>r</w:t>
      </w:r>
      <w:r w:rsidRPr="00633B25">
        <w:rPr>
          <w:rStyle w:val="AbsatzNormal"/>
          <w:sz w:val="24"/>
          <w:szCs w:val="24"/>
          <w:lang w:val="es-VE"/>
        </w:rPr>
        <w:t xml:space="preserve">esultados </w:t>
      </w:r>
      <w:r>
        <w:rPr>
          <w:rStyle w:val="AbsatzNormal"/>
          <w:sz w:val="24"/>
          <w:szCs w:val="24"/>
          <w:lang w:val="es-VE"/>
        </w:rPr>
        <w:t>según lo dispuesto en el p</w:t>
      </w:r>
      <w:r w:rsidRPr="00633B25">
        <w:rPr>
          <w:rStyle w:val="AbsatzNormal"/>
          <w:sz w:val="24"/>
          <w:szCs w:val="24"/>
          <w:lang w:val="es-VE"/>
        </w:rPr>
        <w:t>rograma de Enfermedades Cerebrovasculares.</w:t>
      </w:r>
    </w:p>
    <w:p w14:paraId="03121EF7" w14:textId="77777777" w:rsidR="00B24CC3" w:rsidRDefault="00B24CC3" w:rsidP="00B24CC3">
      <w:pPr>
        <w:pStyle w:val="heading1"/>
        <w:rPr>
          <w:rStyle w:val="AbsatzNormal"/>
          <w:sz w:val="24"/>
          <w:szCs w:val="24"/>
        </w:rPr>
      </w:pPr>
      <w:r w:rsidRPr="006006CA">
        <w:rPr>
          <w:rStyle w:val="AbsatzNormal"/>
          <w:sz w:val="24"/>
          <w:szCs w:val="24"/>
        </w:rPr>
        <w:t>Resultados</w:t>
      </w:r>
    </w:p>
    <w:p w14:paraId="473FEABC" w14:textId="1098F579" w:rsidR="00537C6F" w:rsidRPr="00537C6F" w:rsidRDefault="00537C6F" w:rsidP="00537C6F">
      <w:pPr>
        <w:ind w:firstLine="0"/>
        <w:jc w:val="center"/>
        <w:rPr>
          <w:lang w:val="es-VE"/>
        </w:rPr>
      </w:pPr>
      <w:r w:rsidRPr="000F5F1D">
        <w:rPr>
          <w:lang w:val="es-VE"/>
        </w:rPr>
        <w:t xml:space="preserve">Tabla </w:t>
      </w:r>
      <w:r w:rsidRPr="000F5F1D">
        <w:fldChar w:fldCharType="begin"/>
      </w:r>
      <w:r w:rsidRPr="000F5F1D">
        <w:rPr>
          <w:lang w:val="es-VE"/>
        </w:rPr>
        <w:instrText xml:space="preserve">  SEQ Table \* ARABIC \s 1 </w:instrText>
      </w:r>
      <w:r w:rsidRPr="000F5F1D">
        <w:fldChar w:fldCharType="separate"/>
      </w:r>
      <w:r w:rsidRPr="000F5F1D">
        <w:rPr>
          <w:lang w:val="es-VE"/>
        </w:rPr>
        <w:t>1</w:t>
      </w:r>
      <w:r w:rsidRPr="000F5F1D">
        <w:fldChar w:fldCharType="end"/>
      </w:r>
      <w:r>
        <w:t xml:space="preserve">. </w:t>
      </w:r>
      <w:proofErr w:type="spellStart"/>
      <w:r>
        <w:t>Criterios</w:t>
      </w:r>
      <w:proofErr w:type="spellEnd"/>
      <w:r>
        <w:t xml:space="preserve">, </w:t>
      </w:r>
      <w:proofErr w:type="spellStart"/>
      <w:r>
        <w:t>indicadores</w:t>
      </w:r>
      <w:proofErr w:type="spellEnd"/>
      <w:r>
        <w:t xml:space="preserve">, </w:t>
      </w:r>
      <w:proofErr w:type="spellStart"/>
      <w:r>
        <w:t>estándar</w:t>
      </w:r>
      <w:proofErr w:type="spellEnd"/>
      <w:r>
        <w:t xml:space="preserve"> y </w:t>
      </w:r>
      <w:proofErr w:type="spellStart"/>
      <w:r>
        <w:t>escala</w:t>
      </w:r>
      <w:proofErr w:type="spellEnd"/>
      <w:r>
        <w:t xml:space="preserve"> de la</w:t>
      </w:r>
      <w:r w:rsidRPr="000F5F1D">
        <w:rPr>
          <w:lang w:val="es-VE"/>
        </w:rPr>
        <w:t xml:space="preserve"> </w:t>
      </w:r>
      <w:r>
        <w:rPr>
          <w:lang w:val="es-VE"/>
        </w:rPr>
        <w:t>d</w:t>
      </w:r>
      <w:r w:rsidRPr="000F5F1D">
        <w:rPr>
          <w:lang w:val="es-VE"/>
        </w:rPr>
        <w:t>imensión estructura</w:t>
      </w:r>
      <w:r>
        <w:rPr>
          <w:lang w:val="es-VE"/>
        </w:rPr>
        <w:t>, proceso y resultado</w:t>
      </w:r>
    </w:p>
    <w:tbl>
      <w:tblPr>
        <w:tblpPr w:leftFromText="141" w:rightFromText="141" w:vertAnchor="page" w:horzAnchor="margin" w:tblpY="6548"/>
        <w:tblW w:w="9965" w:type="dxa"/>
        <w:tblLayout w:type="fixed"/>
        <w:tblCellMar>
          <w:top w:w="11" w:type="dxa"/>
          <w:left w:w="57" w:type="dxa"/>
          <w:bottom w:w="11" w:type="dxa"/>
          <w:right w:w="57" w:type="dxa"/>
        </w:tblCellMar>
        <w:tblLook w:val="0000" w:firstRow="0" w:lastRow="0" w:firstColumn="0" w:lastColumn="0" w:noHBand="0" w:noVBand="0"/>
      </w:tblPr>
      <w:tblGrid>
        <w:gridCol w:w="2259"/>
        <w:gridCol w:w="3257"/>
        <w:gridCol w:w="1423"/>
        <w:gridCol w:w="3026"/>
      </w:tblGrid>
      <w:tr w:rsidR="00537C6F" w:rsidRPr="00660CD1" w14:paraId="4E2577FA" w14:textId="77777777" w:rsidTr="00537C6F">
        <w:trPr>
          <w:trHeight w:val="279"/>
        </w:trPr>
        <w:tc>
          <w:tcPr>
            <w:tcW w:w="2259" w:type="dxa"/>
            <w:tcBorders>
              <w:top w:val="single" w:sz="4" w:space="0" w:color="auto"/>
              <w:bottom w:val="single" w:sz="4" w:space="0" w:color="auto"/>
            </w:tcBorders>
            <w:vAlign w:val="center"/>
          </w:tcPr>
          <w:p w14:paraId="42273E49" w14:textId="77777777" w:rsidR="00537C6F" w:rsidRPr="00660CD1" w:rsidRDefault="00537C6F" w:rsidP="00537C6F">
            <w:r w:rsidRPr="000F5F1D">
              <w:rPr>
                <w:lang w:val="es-MX"/>
              </w:rPr>
              <w:t>Criterios</w:t>
            </w:r>
          </w:p>
        </w:tc>
        <w:tc>
          <w:tcPr>
            <w:tcW w:w="3257" w:type="dxa"/>
            <w:tcBorders>
              <w:top w:val="single" w:sz="4" w:space="0" w:color="auto"/>
              <w:bottom w:val="single" w:sz="4" w:space="0" w:color="auto"/>
            </w:tcBorders>
            <w:vAlign w:val="center"/>
          </w:tcPr>
          <w:p w14:paraId="768D6017" w14:textId="77777777" w:rsidR="00537C6F" w:rsidRPr="00660CD1" w:rsidRDefault="00537C6F" w:rsidP="00537C6F">
            <w:pPr>
              <w:pStyle w:val="tablehead"/>
              <w:rPr>
                <w:sz w:val="20"/>
              </w:rPr>
            </w:pPr>
            <w:r>
              <w:rPr>
                <w:sz w:val="20"/>
                <w:lang w:val="es-MX"/>
              </w:rPr>
              <w:t>I</w:t>
            </w:r>
            <w:r w:rsidRPr="000F5F1D">
              <w:rPr>
                <w:sz w:val="20"/>
                <w:lang w:val="es-MX"/>
              </w:rPr>
              <w:t>ndicadores</w:t>
            </w:r>
          </w:p>
        </w:tc>
        <w:tc>
          <w:tcPr>
            <w:tcW w:w="1423" w:type="dxa"/>
            <w:tcBorders>
              <w:top w:val="single" w:sz="4" w:space="0" w:color="auto"/>
              <w:bottom w:val="single" w:sz="4" w:space="0" w:color="auto"/>
            </w:tcBorders>
            <w:vAlign w:val="center"/>
          </w:tcPr>
          <w:p w14:paraId="28AC4FF0" w14:textId="77777777" w:rsidR="00537C6F" w:rsidRPr="00660CD1" w:rsidRDefault="00537C6F" w:rsidP="00537C6F">
            <w:pPr>
              <w:pStyle w:val="tablehead"/>
              <w:rPr>
                <w:sz w:val="20"/>
              </w:rPr>
            </w:pPr>
            <w:r w:rsidRPr="000F5F1D">
              <w:rPr>
                <w:sz w:val="20"/>
                <w:lang w:val="es-MX"/>
              </w:rPr>
              <w:t>Estándar</w:t>
            </w:r>
          </w:p>
        </w:tc>
        <w:tc>
          <w:tcPr>
            <w:tcW w:w="3026" w:type="dxa"/>
            <w:tcBorders>
              <w:top w:val="single" w:sz="4" w:space="0" w:color="auto"/>
              <w:bottom w:val="single" w:sz="4" w:space="0" w:color="auto"/>
            </w:tcBorders>
          </w:tcPr>
          <w:p w14:paraId="75836E25" w14:textId="77777777" w:rsidR="00537C6F" w:rsidRPr="00660CD1" w:rsidRDefault="00537C6F" w:rsidP="00537C6F">
            <w:pPr>
              <w:pStyle w:val="tablehead"/>
              <w:rPr>
                <w:sz w:val="20"/>
              </w:rPr>
            </w:pPr>
            <w:r>
              <w:rPr>
                <w:sz w:val="20"/>
                <w:lang w:val="es-MX"/>
              </w:rPr>
              <w:t>Escala</w:t>
            </w:r>
          </w:p>
        </w:tc>
      </w:tr>
      <w:tr w:rsidR="00537C6F" w:rsidRPr="00660CD1" w14:paraId="43A38C45" w14:textId="77777777" w:rsidTr="00537C6F">
        <w:trPr>
          <w:trHeight w:val="249"/>
        </w:trPr>
        <w:tc>
          <w:tcPr>
            <w:tcW w:w="9965" w:type="dxa"/>
            <w:gridSpan w:val="4"/>
            <w:tcBorders>
              <w:top w:val="single" w:sz="4" w:space="0" w:color="auto"/>
            </w:tcBorders>
            <w:vAlign w:val="center"/>
          </w:tcPr>
          <w:p w14:paraId="0E789973" w14:textId="77777777" w:rsidR="00537C6F" w:rsidRPr="000F5F1D" w:rsidRDefault="00537C6F" w:rsidP="00537C6F">
            <w:pPr>
              <w:pStyle w:val="tabletext"/>
              <w:jc w:val="center"/>
              <w:rPr>
                <w:sz w:val="20"/>
              </w:rPr>
            </w:pPr>
            <w:r>
              <w:rPr>
                <w:sz w:val="20"/>
                <w:lang w:val="es-MX"/>
              </w:rPr>
              <w:t>Dimensión estructura</w:t>
            </w:r>
          </w:p>
        </w:tc>
      </w:tr>
      <w:tr w:rsidR="00537C6F" w:rsidRPr="00434D0A" w14:paraId="15B1131F" w14:textId="77777777" w:rsidTr="00537C6F">
        <w:trPr>
          <w:trHeight w:val="249"/>
        </w:trPr>
        <w:tc>
          <w:tcPr>
            <w:tcW w:w="2259" w:type="dxa"/>
            <w:tcBorders>
              <w:top w:val="single" w:sz="4" w:space="0" w:color="auto"/>
            </w:tcBorders>
            <w:vAlign w:val="center"/>
          </w:tcPr>
          <w:p w14:paraId="74491572" w14:textId="77777777" w:rsidR="00537C6F" w:rsidRPr="000F5F1D" w:rsidRDefault="00537C6F" w:rsidP="00537C6F">
            <w:pPr>
              <w:pStyle w:val="tabletext"/>
              <w:rPr>
                <w:b/>
                <w:sz w:val="20"/>
                <w:lang w:val="es-MX"/>
              </w:rPr>
            </w:pPr>
            <w:r w:rsidRPr="000F5F1D">
              <w:rPr>
                <w:sz w:val="20"/>
                <w:lang w:val="es-MX"/>
              </w:rPr>
              <w:t>Disponibilidad de médicos de la familia</w:t>
            </w:r>
            <w:r w:rsidRPr="000F5F1D">
              <w:rPr>
                <w:b/>
                <w:sz w:val="20"/>
                <w:lang w:val="es-MX"/>
              </w:rPr>
              <w:t xml:space="preserve"> </w:t>
            </w:r>
          </w:p>
        </w:tc>
        <w:tc>
          <w:tcPr>
            <w:tcW w:w="3257" w:type="dxa"/>
            <w:tcBorders>
              <w:top w:val="single" w:sz="4" w:space="0" w:color="auto"/>
            </w:tcBorders>
            <w:vAlign w:val="center"/>
          </w:tcPr>
          <w:p w14:paraId="32C8A336" w14:textId="77777777" w:rsidR="00537C6F" w:rsidRPr="00D74C4C" w:rsidRDefault="00537C6F" w:rsidP="00537C6F">
            <w:pPr>
              <w:pStyle w:val="tabletext"/>
              <w:jc w:val="both"/>
              <w:rPr>
                <w:sz w:val="20"/>
                <w:lang w:val="es-ES"/>
              </w:rPr>
            </w:pPr>
            <w:r>
              <w:rPr>
                <w:sz w:val="20"/>
                <w:lang w:val="es-MX"/>
              </w:rPr>
              <w:t>#</w:t>
            </w:r>
            <w:r w:rsidRPr="000F5F1D">
              <w:rPr>
                <w:sz w:val="20"/>
                <w:lang w:val="es-MX"/>
              </w:rPr>
              <w:t xml:space="preserve"> real de médicos de la familia que laboran en los consultorios/total de población cubana x 100</w:t>
            </w:r>
          </w:p>
        </w:tc>
        <w:tc>
          <w:tcPr>
            <w:tcW w:w="1423" w:type="dxa"/>
            <w:tcBorders>
              <w:top w:val="single" w:sz="4" w:space="0" w:color="auto"/>
            </w:tcBorders>
          </w:tcPr>
          <w:p w14:paraId="562A1E91" w14:textId="77777777" w:rsidR="00537C6F" w:rsidRPr="000F5F1D" w:rsidRDefault="00537C6F" w:rsidP="00537C6F">
            <w:pPr>
              <w:pStyle w:val="tabletext"/>
              <w:jc w:val="both"/>
              <w:rPr>
                <w:sz w:val="20"/>
              </w:rPr>
            </w:pPr>
            <w:r w:rsidRPr="000F5F1D">
              <w:rPr>
                <w:rFonts w:eastAsia="Arial"/>
                <w:sz w:val="20"/>
              </w:rPr>
              <w:t xml:space="preserve">1 </w:t>
            </w:r>
            <w:proofErr w:type="spellStart"/>
            <w:r w:rsidRPr="000F5F1D">
              <w:rPr>
                <w:rFonts w:eastAsia="Arial"/>
                <w:sz w:val="20"/>
              </w:rPr>
              <w:t>m</w:t>
            </w:r>
            <w:r>
              <w:rPr>
                <w:rFonts w:eastAsia="Arial"/>
                <w:sz w:val="20"/>
              </w:rPr>
              <w:t>é</w:t>
            </w:r>
            <w:r w:rsidRPr="000F5F1D">
              <w:rPr>
                <w:rFonts w:eastAsia="Arial"/>
                <w:sz w:val="20"/>
              </w:rPr>
              <w:t>dico</w:t>
            </w:r>
            <w:proofErr w:type="spellEnd"/>
            <w:r w:rsidRPr="000F5F1D">
              <w:rPr>
                <w:rFonts w:eastAsia="Arial"/>
                <w:sz w:val="20"/>
              </w:rPr>
              <w:t xml:space="preserve"> </w:t>
            </w:r>
            <w:r>
              <w:rPr>
                <w:rFonts w:eastAsia="Arial"/>
                <w:sz w:val="20"/>
              </w:rPr>
              <w:t xml:space="preserve">x </w:t>
            </w:r>
            <w:proofErr w:type="spellStart"/>
            <w:r w:rsidRPr="000F5F1D">
              <w:rPr>
                <w:rFonts w:eastAsia="Arial"/>
                <w:sz w:val="20"/>
              </w:rPr>
              <w:t>cada</w:t>
            </w:r>
            <w:proofErr w:type="spellEnd"/>
            <w:r w:rsidRPr="000F5F1D">
              <w:rPr>
                <w:rFonts w:eastAsia="Arial"/>
                <w:sz w:val="20"/>
              </w:rPr>
              <w:t xml:space="preserve"> 100 </w:t>
            </w:r>
            <w:proofErr w:type="spellStart"/>
            <w:r w:rsidRPr="000F5F1D">
              <w:rPr>
                <w:rFonts w:eastAsia="Arial"/>
                <w:sz w:val="20"/>
              </w:rPr>
              <w:t>habitantes</w:t>
            </w:r>
            <w:proofErr w:type="spellEnd"/>
            <w:r w:rsidRPr="000F5F1D">
              <w:rPr>
                <w:rFonts w:eastAsia="Arial"/>
                <w:sz w:val="20"/>
              </w:rPr>
              <w:t xml:space="preserve"> </w:t>
            </w:r>
          </w:p>
        </w:tc>
        <w:tc>
          <w:tcPr>
            <w:tcW w:w="3026" w:type="dxa"/>
            <w:tcBorders>
              <w:top w:val="single" w:sz="4" w:space="0" w:color="auto"/>
            </w:tcBorders>
          </w:tcPr>
          <w:p w14:paraId="28E37340" w14:textId="77777777" w:rsidR="00537C6F" w:rsidRPr="00D74C4C" w:rsidRDefault="00537C6F" w:rsidP="00537C6F">
            <w:pPr>
              <w:pStyle w:val="tabletext"/>
              <w:jc w:val="both"/>
              <w:rPr>
                <w:sz w:val="20"/>
                <w:lang w:val="es-ES"/>
              </w:rPr>
            </w:pPr>
            <w:r w:rsidRPr="00D74C4C">
              <w:rPr>
                <w:sz w:val="20"/>
                <w:lang w:val="es-ES"/>
              </w:rPr>
              <w:t>Suficiente: si están disponible al menos 1 médico de familia por 100 habitantes.</w:t>
            </w:r>
          </w:p>
          <w:p w14:paraId="38C9182C" w14:textId="77777777" w:rsidR="00537C6F" w:rsidRPr="00D74C4C" w:rsidRDefault="00537C6F" w:rsidP="00537C6F">
            <w:pPr>
              <w:pStyle w:val="tabletext"/>
              <w:jc w:val="both"/>
              <w:rPr>
                <w:sz w:val="20"/>
                <w:lang w:val="es-ES"/>
              </w:rPr>
            </w:pPr>
            <w:r w:rsidRPr="00D74C4C">
              <w:rPr>
                <w:sz w:val="20"/>
                <w:lang w:val="es-ES"/>
              </w:rPr>
              <w:t xml:space="preserve"> Insuficiente: si no cumple lo anterior</w:t>
            </w:r>
          </w:p>
        </w:tc>
      </w:tr>
      <w:tr w:rsidR="00537C6F" w:rsidRPr="00434D0A" w14:paraId="2D9F5D38" w14:textId="77777777" w:rsidTr="00537C6F">
        <w:trPr>
          <w:trHeight w:val="249"/>
        </w:trPr>
        <w:tc>
          <w:tcPr>
            <w:tcW w:w="2259" w:type="dxa"/>
            <w:vAlign w:val="center"/>
          </w:tcPr>
          <w:p w14:paraId="45375C83" w14:textId="77777777" w:rsidR="00537C6F" w:rsidRPr="000F5F1D" w:rsidRDefault="00537C6F" w:rsidP="00537C6F">
            <w:pPr>
              <w:pStyle w:val="tabletext"/>
              <w:rPr>
                <w:sz w:val="20"/>
                <w:lang w:val="es-MX"/>
              </w:rPr>
            </w:pPr>
            <w:r w:rsidRPr="000F5F1D">
              <w:rPr>
                <w:sz w:val="20"/>
                <w:lang w:val="es-MX"/>
              </w:rPr>
              <w:t xml:space="preserve">Disponibilidad de enfermeras de la familia </w:t>
            </w:r>
          </w:p>
          <w:p w14:paraId="77E4D5AB" w14:textId="77777777" w:rsidR="00537C6F" w:rsidRPr="000F5F1D" w:rsidRDefault="00537C6F" w:rsidP="00537C6F">
            <w:pPr>
              <w:pStyle w:val="tabletext"/>
              <w:rPr>
                <w:sz w:val="20"/>
                <w:lang w:val="es-MX"/>
              </w:rPr>
            </w:pPr>
          </w:p>
        </w:tc>
        <w:tc>
          <w:tcPr>
            <w:tcW w:w="3257" w:type="dxa"/>
            <w:vAlign w:val="center"/>
          </w:tcPr>
          <w:p w14:paraId="20E5F749" w14:textId="77777777" w:rsidR="00537C6F" w:rsidRPr="00D74C4C" w:rsidRDefault="00537C6F" w:rsidP="00537C6F">
            <w:pPr>
              <w:pStyle w:val="tabletext"/>
              <w:jc w:val="both"/>
              <w:rPr>
                <w:sz w:val="20"/>
                <w:lang w:val="es-ES"/>
              </w:rPr>
            </w:pPr>
            <w:r>
              <w:rPr>
                <w:sz w:val="20"/>
                <w:lang w:val="es-MX"/>
              </w:rPr>
              <w:t>#</w:t>
            </w:r>
            <w:r w:rsidRPr="000F5F1D">
              <w:rPr>
                <w:sz w:val="20"/>
                <w:lang w:val="es-MX"/>
              </w:rPr>
              <w:t xml:space="preserve"> real de enfermeras de la familia que laboran en los consultorios / total de población cubana x 100</w:t>
            </w:r>
          </w:p>
        </w:tc>
        <w:tc>
          <w:tcPr>
            <w:tcW w:w="1423" w:type="dxa"/>
            <w:vAlign w:val="center"/>
          </w:tcPr>
          <w:p w14:paraId="314C703B" w14:textId="77777777" w:rsidR="00537C6F" w:rsidRPr="00660CD1" w:rsidRDefault="00537C6F" w:rsidP="00537C6F">
            <w:pPr>
              <w:pStyle w:val="tabletext"/>
              <w:jc w:val="both"/>
              <w:rPr>
                <w:sz w:val="20"/>
              </w:rPr>
            </w:pPr>
            <w:r w:rsidRPr="00C57AA4">
              <w:rPr>
                <w:sz w:val="20"/>
              </w:rPr>
              <w:t xml:space="preserve">1 </w:t>
            </w:r>
            <w:proofErr w:type="spellStart"/>
            <w:r w:rsidRPr="00C57AA4">
              <w:rPr>
                <w:sz w:val="20"/>
              </w:rPr>
              <w:t>enfermera</w:t>
            </w:r>
            <w:proofErr w:type="spellEnd"/>
            <w:r w:rsidRPr="00C57AA4">
              <w:rPr>
                <w:sz w:val="20"/>
              </w:rPr>
              <w:t xml:space="preserve"> </w:t>
            </w:r>
            <w:r>
              <w:rPr>
                <w:sz w:val="20"/>
              </w:rPr>
              <w:t xml:space="preserve">x </w:t>
            </w:r>
            <w:proofErr w:type="spellStart"/>
            <w:r w:rsidRPr="00C57AA4">
              <w:rPr>
                <w:sz w:val="20"/>
              </w:rPr>
              <w:t>cada</w:t>
            </w:r>
            <w:proofErr w:type="spellEnd"/>
            <w:r w:rsidRPr="00C57AA4">
              <w:rPr>
                <w:sz w:val="20"/>
              </w:rPr>
              <w:t xml:space="preserve"> 120 </w:t>
            </w:r>
            <w:proofErr w:type="spellStart"/>
            <w:r w:rsidRPr="00C57AA4">
              <w:rPr>
                <w:sz w:val="20"/>
              </w:rPr>
              <w:t>habitantes</w:t>
            </w:r>
            <w:proofErr w:type="spellEnd"/>
          </w:p>
        </w:tc>
        <w:tc>
          <w:tcPr>
            <w:tcW w:w="3026" w:type="dxa"/>
          </w:tcPr>
          <w:p w14:paraId="5C7A5090" w14:textId="77777777" w:rsidR="00537C6F" w:rsidRPr="00D74C4C" w:rsidRDefault="00537C6F" w:rsidP="00537C6F">
            <w:pPr>
              <w:pStyle w:val="tabletext"/>
              <w:jc w:val="both"/>
              <w:rPr>
                <w:sz w:val="20"/>
                <w:lang w:val="es-ES"/>
              </w:rPr>
            </w:pPr>
            <w:r w:rsidRPr="00D74C4C">
              <w:rPr>
                <w:sz w:val="20"/>
                <w:lang w:val="es-ES"/>
              </w:rPr>
              <w:t xml:space="preserve">Suficiente: si están disponible al menos 1 enfermera de familia por 120 habitantes </w:t>
            </w:r>
          </w:p>
          <w:p w14:paraId="5B7188F1" w14:textId="77777777" w:rsidR="00537C6F" w:rsidRPr="00D74C4C" w:rsidRDefault="00537C6F" w:rsidP="00537C6F">
            <w:pPr>
              <w:pStyle w:val="tabletext"/>
              <w:jc w:val="both"/>
              <w:rPr>
                <w:sz w:val="20"/>
                <w:lang w:val="es-ES"/>
              </w:rPr>
            </w:pPr>
            <w:r w:rsidRPr="00D74C4C">
              <w:rPr>
                <w:sz w:val="20"/>
                <w:lang w:val="es-ES"/>
              </w:rPr>
              <w:t>Insuficiente: si no cumple lo anterior.</w:t>
            </w:r>
          </w:p>
        </w:tc>
      </w:tr>
      <w:tr w:rsidR="00537C6F" w:rsidRPr="00434D0A" w14:paraId="59C53E6C" w14:textId="77777777" w:rsidTr="00537C6F">
        <w:trPr>
          <w:trHeight w:val="249"/>
        </w:trPr>
        <w:tc>
          <w:tcPr>
            <w:tcW w:w="2259" w:type="dxa"/>
            <w:vAlign w:val="center"/>
          </w:tcPr>
          <w:p w14:paraId="55C7F4C0" w14:textId="77777777" w:rsidR="00537C6F" w:rsidRPr="00D74C4C" w:rsidRDefault="00537C6F" w:rsidP="00537C6F">
            <w:pPr>
              <w:pStyle w:val="tabletext"/>
              <w:rPr>
                <w:sz w:val="20"/>
                <w:lang w:val="es-ES"/>
              </w:rPr>
            </w:pPr>
            <w:r w:rsidRPr="00D74C4C">
              <w:rPr>
                <w:sz w:val="20"/>
                <w:lang w:val="es-ES"/>
              </w:rPr>
              <w:t xml:space="preserve">Disponibilidad de especialistas en medicina interna </w:t>
            </w:r>
          </w:p>
        </w:tc>
        <w:tc>
          <w:tcPr>
            <w:tcW w:w="3257" w:type="dxa"/>
            <w:vAlign w:val="center"/>
          </w:tcPr>
          <w:p w14:paraId="7305478F" w14:textId="77777777" w:rsidR="00537C6F" w:rsidRPr="00D74C4C" w:rsidRDefault="00537C6F" w:rsidP="00537C6F">
            <w:pPr>
              <w:pStyle w:val="tabletext"/>
              <w:jc w:val="both"/>
              <w:rPr>
                <w:sz w:val="20"/>
                <w:lang w:val="es-ES"/>
              </w:rPr>
            </w:pPr>
            <w:r w:rsidRPr="00D74C4C">
              <w:rPr>
                <w:sz w:val="20"/>
                <w:lang w:val="es-ES"/>
              </w:rPr>
              <w:t># real de internistas/ total de población cubana mayor de 20 años x 1000</w:t>
            </w:r>
          </w:p>
        </w:tc>
        <w:tc>
          <w:tcPr>
            <w:tcW w:w="1423" w:type="dxa"/>
            <w:vAlign w:val="center"/>
          </w:tcPr>
          <w:p w14:paraId="2C9722AD" w14:textId="77777777" w:rsidR="00537C6F" w:rsidRPr="00D74C4C" w:rsidRDefault="00537C6F" w:rsidP="00537C6F">
            <w:pPr>
              <w:pStyle w:val="tabletext"/>
              <w:jc w:val="both"/>
              <w:rPr>
                <w:sz w:val="20"/>
                <w:lang w:val="es-ES"/>
              </w:rPr>
            </w:pPr>
            <w:r w:rsidRPr="00D74C4C">
              <w:rPr>
                <w:sz w:val="20"/>
                <w:lang w:val="es-ES"/>
              </w:rPr>
              <w:t>1 especialista en medicina interna por cada 1000 habitantes</w:t>
            </w:r>
          </w:p>
        </w:tc>
        <w:tc>
          <w:tcPr>
            <w:tcW w:w="3026" w:type="dxa"/>
          </w:tcPr>
          <w:p w14:paraId="3D1A05B7" w14:textId="77777777" w:rsidR="00537C6F" w:rsidRPr="00D74C4C" w:rsidRDefault="00537C6F" w:rsidP="00537C6F">
            <w:pPr>
              <w:pStyle w:val="tabletext"/>
              <w:jc w:val="both"/>
              <w:rPr>
                <w:sz w:val="20"/>
                <w:lang w:val="es-ES"/>
              </w:rPr>
            </w:pPr>
            <w:r w:rsidRPr="00D74C4C">
              <w:rPr>
                <w:sz w:val="20"/>
                <w:lang w:val="es-ES"/>
              </w:rPr>
              <w:t>Suficiente: si están disponible al menos 1 especialista en medicina interna por 1000 habitantes.</w:t>
            </w:r>
          </w:p>
          <w:p w14:paraId="2A5A002B" w14:textId="77777777" w:rsidR="00537C6F" w:rsidRPr="00D74C4C" w:rsidRDefault="00537C6F" w:rsidP="00537C6F">
            <w:pPr>
              <w:pStyle w:val="tabletext"/>
              <w:jc w:val="both"/>
              <w:rPr>
                <w:sz w:val="20"/>
                <w:lang w:val="es-ES"/>
              </w:rPr>
            </w:pPr>
            <w:r w:rsidRPr="00D74C4C">
              <w:rPr>
                <w:sz w:val="20"/>
                <w:lang w:val="es-ES"/>
              </w:rPr>
              <w:t>Insuficiente: si no cumple lo anterior.</w:t>
            </w:r>
          </w:p>
        </w:tc>
      </w:tr>
      <w:tr w:rsidR="00537C6F" w:rsidRPr="00434D0A" w14:paraId="54E6FC18" w14:textId="77777777" w:rsidTr="00537C6F">
        <w:trPr>
          <w:trHeight w:val="249"/>
        </w:trPr>
        <w:tc>
          <w:tcPr>
            <w:tcW w:w="2259" w:type="dxa"/>
            <w:vAlign w:val="center"/>
          </w:tcPr>
          <w:p w14:paraId="7EF8960A" w14:textId="77777777" w:rsidR="00537C6F" w:rsidRPr="00D74C4C" w:rsidRDefault="00537C6F" w:rsidP="00537C6F">
            <w:pPr>
              <w:pStyle w:val="tabletext"/>
              <w:jc w:val="both"/>
              <w:rPr>
                <w:sz w:val="20"/>
                <w:lang w:val="es-ES"/>
              </w:rPr>
            </w:pPr>
            <w:r w:rsidRPr="00D74C4C">
              <w:rPr>
                <w:sz w:val="20"/>
                <w:lang w:val="es-ES"/>
              </w:rPr>
              <w:t xml:space="preserve">Cobertura de técnico (laboratorio clínico, microbiológico, rehabilitación y </w:t>
            </w:r>
            <w:proofErr w:type="spellStart"/>
            <w:r w:rsidRPr="00D74C4C">
              <w:rPr>
                <w:sz w:val="20"/>
                <w:lang w:val="es-ES"/>
              </w:rPr>
              <w:t>Rx</w:t>
            </w:r>
            <w:proofErr w:type="spellEnd"/>
            <w:r w:rsidRPr="00D74C4C">
              <w:rPr>
                <w:sz w:val="20"/>
                <w:lang w:val="es-ES"/>
              </w:rPr>
              <w:t xml:space="preserve"> </w:t>
            </w:r>
          </w:p>
        </w:tc>
        <w:tc>
          <w:tcPr>
            <w:tcW w:w="3257" w:type="dxa"/>
            <w:vAlign w:val="center"/>
          </w:tcPr>
          <w:p w14:paraId="21A0F18D" w14:textId="77777777" w:rsidR="00537C6F" w:rsidRPr="00D74C4C" w:rsidRDefault="00537C6F" w:rsidP="00537C6F">
            <w:pPr>
              <w:pStyle w:val="tabletext"/>
              <w:jc w:val="both"/>
              <w:rPr>
                <w:sz w:val="20"/>
                <w:lang w:val="es-ES"/>
              </w:rPr>
            </w:pPr>
            <w:r w:rsidRPr="00D74C4C">
              <w:rPr>
                <w:sz w:val="20"/>
                <w:lang w:val="es-ES"/>
              </w:rPr>
              <w:t xml:space="preserve"># real de técnicos (laboratorio clínico, microbiológico, rehabilitación y </w:t>
            </w:r>
            <w:proofErr w:type="spellStart"/>
            <w:r w:rsidRPr="00D74C4C">
              <w:rPr>
                <w:sz w:val="20"/>
                <w:lang w:val="es-ES"/>
              </w:rPr>
              <w:t>Rx</w:t>
            </w:r>
            <w:proofErr w:type="spellEnd"/>
            <w:r w:rsidRPr="00D74C4C">
              <w:rPr>
                <w:sz w:val="20"/>
                <w:lang w:val="es-ES"/>
              </w:rPr>
              <w:t>/ total de población cubana mayor de 20 años x 1000</w:t>
            </w:r>
          </w:p>
        </w:tc>
        <w:tc>
          <w:tcPr>
            <w:tcW w:w="1423" w:type="dxa"/>
            <w:vAlign w:val="center"/>
          </w:tcPr>
          <w:p w14:paraId="365F61B3" w14:textId="77777777" w:rsidR="00537C6F" w:rsidRPr="00D74C4C" w:rsidRDefault="00537C6F" w:rsidP="00537C6F">
            <w:pPr>
              <w:pStyle w:val="tabletext"/>
              <w:jc w:val="both"/>
              <w:rPr>
                <w:sz w:val="20"/>
                <w:lang w:val="es-ES"/>
              </w:rPr>
            </w:pPr>
            <w:r w:rsidRPr="00D74C4C">
              <w:rPr>
                <w:sz w:val="20"/>
                <w:lang w:val="es-ES"/>
              </w:rPr>
              <w:t xml:space="preserve">1 técnico de laboratorio clínico, microbiológico, rehabilitación y </w:t>
            </w:r>
            <w:proofErr w:type="spellStart"/>
            <w:r w:rsidRPr="00D74C4C">
              <w:rPr>
                <w:sz w:val="20"/>
                <w:lang w:val="es-ES"/>
              </w:rPr>
              <w:t>Rx</w:t>
            </w:r>
            <w:proofErr w:type="spellEnd"/>
            <w:r w:rsidRPr="00D74C4C">
              <w:rPr>
                <w:sz w:val="20"/>
                <w:lang w:val="es-ES"/>
              </w:rPr>
              <w:t xml:space="preserve"> por cada 1000 habitantes</w:t>
            </w:r>
          </w:p>
        </w:tc>
        <w:tc>
          <w:tcPr>
            <w:tcW w:w="3026" w:type="dxa"/>
          </w:tcPr>
          <w:p w14:paraId="0433E1B4" w14:textId="77777777" w:rsidR="00537C6F" w:rsidRPr="00D74C4C" w:rsidRDefault="00537C6F" w:rsidP="00537C6F">
            <w:pPr>
              <w:pStyle w:val="tabletext"/>
              <w:jc w:val="both"/>
              <w:rPr>
                <w:sz w:val="20"/>
                <w:lang w:val="es-ES"/>
              </w:rPr>
            </w:pPr>
            <w:r w:rsidRPr="00D74C4C">
              <w:rPr>
                <w:sz w:val="20"/>
                <w:lang w:val="es-ES"/>
              </w:rPr>
              <w:t xml:space="preserve">Suficiente: si están disponible al menos 1 técnico de laboratorio clínico, microbiológico, rehabilitación y </w:t>
            </w:r>
            <w:proofErr w:type="spellStart"/>
            <w:r w:rsidRPr="00D74C4C">
              <w:rPr>
                <w:sz w:val="20"/>
                <w:lang w:val="es-ES"/>
              </w:rPr>
              <w:t>Rx</w:t>
            </w:r>
            <w:proofErr w:type="spellEnd"/>
            <w:r w:rsidRPr="00D74C4C">
              <w:rPr>
                <w:sz w:val="20"/>
                <w:lang w:val="es-ES"/>
              </w:rPr>
              <w:t xml:space="preserve"> por 1000 habitantes.</w:t>
            </w:r>
          </w:p>
          <w:p w14:paraId="5566696A" w14:textId="77777777" w:rsidR="00537C6F" w:rsidRPr="00D74C4C" w:rsidRDefault="00537C6F" w:rsidP="00537C6F">
            <w:pPr>
              <w:pStyle w:val="tabletext"/>
              <w:jc w:val="both"/>
              <w:rPr>
                <w:sz w:val="20"/>
                <w:lang w:val="es-ES"/>
              </w:rPr>
            </w:pPr>
            <w:r w:rsidRPr="00D74C4C">
              <w:rPr>
                <w:sz w:val="20"/>
                <w:lang w:val="es-ES"/>
              </w:rPr>
              <w:t>Insuficiente: si no cumple lo anterior</w:t>
            </w:r>
          </w:p>
        </w:tc>
      </w:tr>
      <w:tr w:rsidR="00537C6F" w:rsidRPr="00434D0A" w14:paraId="3EB13E00" w14:textId="77777777" w:rsidTr="00537C6F">
        <w:trPr>
          <w:trHeight w:val="249"/>
        </w:trPr>
        <w:tc>
          <w:tcPr>
            <w:tcW w:w="2259" w:type="dxa"/>
            <w:vAlign w:val="center"/>
          </w:tcPr>
          <w:p w14:paraId="3C6216D6" w14:textId="77777777" w:rsidR="00537C6F" w:rsidRPr="00D74C4C" w:rsidRDefault="00537C6F" w:rsidP="00537C6F">
            <w:pPr>
              <w:pStyle w:val="tabletext"/>
              <w:jc w:val="both"/>
              <w:rPr>
                <w:sz w:val="20"/>
                <w:lang w:val="es-ES"/>
              </w:rPr>
            </w:pPr>
          </w:p>
        </w:tc>
        <w:tc>
          <w:tcPr>
            <w:tcW w:w="3257" w:type="dxa"/>
            <w:vAlign w:val="center"/>
          </w:tcPr>
          <w:p w14:paraId="1A12DBB9" w14:textId="77777777" w:rsidR="00537C6F" w:rsidRPr="00D74C4C" w:rsidRDefault="00537C6F" w:rsidP="00537C6F">
            <w:pPr>
              <w:pStyle w:val="tabletext"/>
              <w:jc w:val="both"/>
              <w:rPr>
                <w:sz w:val="20"/>
                <w:lang w:val="es-ES"/>
              </w:rPr>
            </w:pPr>
          </w:p>
        </w:tc>
        <w:tc>
          <w:tcPr>
            <w:tcW w:w="1423" w:type="dxa"/>
            <w:vAlign w:val="center"/>
          </w:tcPr>
          <w:p w14:paraId="608402B9" w14:textId="77777777" w:rsidR="00537C6F" w:rsidRPr="00D74C4C" w:rsidRDefault="00537C6F" w:rsidP="00537C6F">
            <w:pPr>
              <w:pStyle w:val="tabletext"/>
              <w:jc w:val="both"/>
              <w:rPr>
                <w:sz w:val="20"/>
                <w:lang w:val="es-ES"/>
              </w:rPr>
            </w:pPr>
          </w:p>
        </w:tc>
        <w:tc>
          <w:tcPr>
            <w:tcW w:w="3026" w:type="dxa"/>
          </w:tcPr>
          <w:p w14:paraId="43696E17" w14:textId="77777777" w:rsidR="00537C6F" w:rsidRPr="00D74C4C" w:rsidRDefault="00537C6F" w:rsidP="00537C6F">
            <w:pPr>
              <w:pStyle w:val="tabletext"/>
              <w:jc w:val="both"/>
              <w:rPr>
                <w:sz w:val="20"/>
                <w:lang w:val="es-ES"/>
              </w:rPr>
            </w:pPr>
          </w:p>
        </w:tc>
      </w:tr>
      <w:tr w:rsidR="00537C6F" w:rsidRPr="00660CD1" w14:paraId="2AC74642" w14:textId="77777777" w:rsidTr="00537C6F">
        <w:trPr>
          <w:trHeight w:val="249"/>
        </w:trPr>
        <w:tc>
          <w:tcPr>
            <w:tcW w:w="9965" w:type="dxa"/>
            <w:gridSpan w:val="4"/>
            <w:vAlign w:val="center"/>
          </w:tcPr>
          <w:p w14:paraId="30A45114" w14:textId="77777777" w:rsidR="00537C6F" w:rsidRPr="00C57AA4" w:rsidRDefault="00537C6F" w:rsidP="00537C6F">
            <w:pPr>
              <w:pStyle w:val="tabletext"/>
              <w:jc w:val="center"/>
              <w:rPr>
                <w:sz w:val="20"/>
              </w:rPr>
            </w:pPr>
            <w:proofErr w:type="spellStart"/>
            <w:r>
              <w:rPr>
                <w:sz w:val="20"/>
              </w:rPr>
              <w:t>Dimensión</w:t>
            </w:r>
            <w:proofErr w:type="spellEnd"/>
            <w:r>
              <w:rPr>
                <w:sz w:val="20"/>
              </w:rPr>
              <w:t xml:space="preserve"> </w:t>
            </w:r>
            <w:proofErr w:type="spellStart"/>
            <w:r>
              <w:rPr>
                <w:sz w:val="20"/>
              </w:rPr>
              <w:t>proceso</w:t>
            </w:r>
            <w:proofErr w:type="spellEnd"/>
          </w:p>
        </w:tc>
      </w:tr>
      <w:tr w:rsidR="00537C6F" w:rsidRPr="00660CD1" w14:paraId="3CBE5ADB" w14:textId="77777777" w:rsidTr="00537C6F">
        <w:trPr>
          <w:trHeight w:val="249"/>
        </w:trPr>
        <w:tc>
          <w:tcPr>
            <w:tcW w:w="9965" w:type="dxa"/>
            <w:gridSpan w:val="4"/>
            <w:vAlign w:val="center"/>
          </w:tcPr>
          <w:p w14:paraId="39DF0B39" w14:textId="77777777" w:rsidR="00537C6F" w:rsidRDefault="00537C6F" w:rsidP="00537C6F">
            <w:pPr>
              <w:pStyle w:val="tabletext"/>
              <w:jc w:val="center"/>
              <w:rPr>
                <w:sz w:val="20"/>
              </w:rPr>
            </w:pPr>
          </w:p>
        </w:tc>
      </w:tr>
      <w:tr w:rsidR="00537C6F" w:rsidRPr="00434D0A" w14:paraId="50EDBF34" w14:textId="77777777" w:rsidTr="00537C6F">
        <w:trPr>
          <w:trHeight w:val="249"/>
        </w:trPr>
        <w:tc>
          <w:tcPr>
            <w:tcW w:w="2259" w:type="dxa"/>
            <w:vAlign w:val="center"/>
          </w:tcPr>
          <w:p w14:paraId="6DB05288" w14:textId="77777777" w:rsidR="00537C6F" w:rsidRDefault="00537C6F" w:rsidP="00537C6F">
            <w:pPr>
              <w:pStyle w:val="tabletext"/>
              <w:jc w:val="both"/>
              <w:rPr>
                <w:sz w:val="20"/>
              </w:rPr>
            </w:pPr>
            <w:r w:rsidRPr="00C57AA4">
              <w:rPr>
                <w:sz w:val="20"/>
                <w:lang w:val="es-MX"/>
              </w:rPr>
              <w:lastRenderedPageBreak/>
              <w:t>Consulta externa</w:t>
            </w:r>
          </w:p>
        </w:tc>
        <w:tc>
          <w:tcPr>
            <w:tcW w:w="3257" w:type="dxa"/>
            <w:vAlign w:val="center"/>
          </w:tcPr>
          <w:p w14:paraId="205B167B" w14:textId="77777777" w:rsidR="00537C6F" w:rsidRPr="00D74C4C" w:rsidRDefault="00537C6F" w:rsidP="00537C6F">
            <w:pPr>
              <w:pStyle w:val="tabletext"/>
              <w:jc w:val="both"/>
              <w:rPr>
                <w:sz w:val="20"/>
                <w:lang w:val="es-ES"/>
              </w:rPr>
            </w:pPr>
            <w:proofErr w:type="gramStart"/>
            <w:r w:rsidRPr="00C57AA4">
              <w:rPr>
                <w:sz w:val="20"/>
                <w:lang w:val="es-MX"/>
              </w:rPr>
              <w:t>Total</w:t>
            </w:r>
            <w:proofErr w:type="gramEnd"/>
            <w:r w:rsidRPr="00C57AA4">
              <w:rPr>
                <w:sz w:val="20"/>
                <w:lang w:val="es-MX"/>
              </w:rPr>
              <w:t xml:space="preserve"> de habitantes/ </w:t>
            </w:r>
            <w:r>
              <w:rPr>
                <w:sz w:val="20"/>
                <w:lang w:val="es-MX"/>
              </w:rPr>
              <w:t>#</w:t>
            </w:r>
            <w:r w:rsidRPr="00C57AA4">
              <w:rPr>
                <w:sz w:val="20"/>
                <w:lang w:val="es-MX"/>
              </w:rPr>
              <w:t xml:space="preserve"> de consultas externas x 100</w:t>
            </w:r>
          </w:p>
        </w:tc>
        <w:tc>
          <w:tcPr>
            <w:tcW w:w="1423" w:type="dxa"/>
          </w:tcPr>
          <w:p w14:paraId="617A35E3" w14:textId="77777777" w:rsidR="00537C6F" w:rsidRPr="00D74C4C" w:rsidRDefault="00537C6F" w:rsidP="00537C6F">
            <w:pPr>
              <w:pStyle w:val="tabletext"/>
              <w:jc w:val="both"/>
              <w:rPr>
                <w:sz w:val="20"/>
                <w:lang w:val="es-ES"/>
              </w:rPr>
            </w:pPr>
            <w:r w:rsidRPr="00D74C4C">
              <w:rPr>
                <w:rFonts w:eastAsia="Arial" w:hint="eastAsia"/>
                <w:sz w:val="20"/>
                <w:lang w:val="es-ES"/>
              </w:rPr>
              <w:t>≥</w:t>
            </w:r>
            <w:r w:rsidRPr="00D74C4C">
              <w:rPr>
                <w:rFonts w:eastAsia="Arial" w:hint="eastAsia"/>
                <w:sz w:val="20"/>
                <w:lang w:val="es-ES"/>
              </w:rPr>
              <w:t xml:space="preserve"> 25% de consulta a los habitantes</w:t>
            </w:r>
          </w:p>
        </w:tc>
        <w:tc>
          <w:tcPr>
            <w:tcW w:w="3026" w:type="dxa"/>
          </w:tcPr>
          <w:p w14:paraId="28723110" w14:textId="77777777" w:rsidR="00537C6F" w:rsidRPr="00D74C4C" w:rsidRDefault="00537C6F" w:rsidP="00537C6F">
            <w:pPr>
              <w:pStyle w:val="tabletext"/>
              <w:jc w:val="both"/>
              <w:rPr>
                <w:sz w:val="20"/>
                <w:lang w:val="es-ES"/>
              </w:rPr>
            </w:pPr>
            <w:r w:rsidRPr="00D74C4C">
              <w:rPr>
                <w:rFonts w:hint="eastAsia"/>
                <w:sz w:val="20"/>
                <w:lang w:val="es-ES"/>
              </w:rPr>
              <w:t xml:space="preserve">Adecuado </w:t>
            </w:r>
            <w:r w:rsidRPr="00D74C4C">
              <w:rPr>
                <w:rFonts w:hint="eastAsia"/>
                <w:sz w:val="20"/>
                <w:lang w:val="es-ES"/>
              </w:rPr>
              <w:t>≥</w:t>
            </w:r>
            <w:r w:rsidRPr="00D74C4C">
              <w:rPr>
                <w:rFonts w:hint="eastAsia"/>
                <w:sz w:val="20"/>
                <w:lang w:val="es-ES"/>
              </w:rPr>
              <w:t xml:space="preserve"> 25% de consulta a los habitantes si se brindan más de </w:t>
            </w:r>
            <w:r w:rsidRPr="00D74C4C">
              <w:rPr>
                <w:sz w:val="20"/>
                <w:lang w:val="es-ES"/>
              </w:rPr>
              <w:t>2</w:t>
            </w:r>
            <w:r w:rsidRPr="00D74C4C">
              <w:rPr>
                <w:rFonts w:hint="eastAsia"/>
                <w:sz w:val="20"/>
                <w:lang w:val="es-ES"/>
              </w:rPr>
              <w:t xml:space="preserve"> consultas al año</w:t>
            </w:r>
            <w:r w:rsidRPr="00D74C4C">
              <w:rPr>
                <w:sz w:val="20"/>
                <w:lang w:val="es-ES"/>
              </w:rPr>
              <w:t>.</w:t>
            </w:r>
          </w:p>
          <w:p w14:paraId="3FD1065C" w14:textId="77777777" w:rsidR="00537C6F" w:rsidRPr="00D74C4C" w:rsidRDefault="00537C6F" w:rsidP="00537C6F">
            <w:pPr>
              <w:pStyle w:val="tabletext"/>
              <w:jc w:val="both"/>
              <w:rPr>
                <w:sz w:val="20"/>
                <w:lang w:val="es-ES"/>
              </w:rPr>
            </w:pPr>
            <w:r w:rsidRPr="00D74C4C">
              <w:rPr>
                <w:sz w:val="20"/>
                <w:lang w:val="es-ES"/>
              </w:rPr>
              <w:t>No adecuado. Si no cumple con lo anterior.</w:t>
            </w:r>
          </w:p>
        </w:tc>
      </w:tr>
      <w:tr w:rsidR="00537C6F" w:rsidRPr="00434D0A" w14:paraId="0578E795" w14:textId="77777777" w:rsidTr="00537C6F">
        <w:trPr>
          <w:trHeight w:val="249"/>
        </w:trPr>
        <w:tc>
          <w:tcPr>
            <w:tcW w:w="2259" w:type="dxa"/>
            <w:vAlign w:val="center"/>
          </w:tcPr>
          <w:p w14:paraId="4BCD082E" w14:textId="77777777" w:rsidR="00537C6F" w:rsidRPr="00C57AA4" w:rsidRDefault="00537C6F" w:rsidP="00537C6F">
            <w:pPr>
              <w:pStyle w:val="tabletext"/>
              <w:jc w:val="both"/>
              <w:rPr>
                <w:sz w:val="20"/>
                <w:lang w:val="es-MX"/>
              </w:rPr>
            </w:pPr>
          </w:p>
        </w:tc>
        <w:tc>
          <w:tcPr>
            <w:tcW w:w="3257" w:type="dxa"/>
            <w:vAlign w:val="center"/>
          </w:tcPr>
          <w:p w14:paraId="13BFA1D5" w14:textId="77777777" w:rsidR="00537C6F" w:rsidRPr="00C57AA4" w:rsidRDefault="00537C6F" w:rsidP="00537C6F">
            <w:pPr>
              <w:pStyle w:val="tabletext"/>
              <w:jc w:val="both"/>
              <w:rPr>
                <w:sz w:val="20"/>
                <w:lang w:val="es-MX"/>
              </w:rPr>
            </w:pPr>
          </w:p>
        </w:tc>
        <w:tc>
          <w:tcPr>
            <w:tcW w:w="1423" w:type="dxa"/>
          </w:tcPr>
          <w:p w14:paraId="39B0290B" w14:textId="77777777" w:rsidR="00537C6F" w:rsidRPr="00D74C4C" w:rsidRDefault="00537C6F" w:rsidP="00537C6F">
            <w:pPr>
              <w:pStyle w:val="tabletext"/>
              <w:jc w:val="both"/>
              <w:rPr>
                <w:rFonts w:eastAsia="Arial"/>
                <w:sz w:val="20"/>
                <w:lang w:val="es-ES"/>
              </w:rPr>
            </w:pPr>
          </w:p>
        </w:tc>
        <w:tc>
          <w:tcPr>
            <w:tcW w:w="3026" w:type="dxa"/>
          </w:tcPr>
          <w:p w14:paraId="36235B78" w14:textId="77777777" w:rsidR="00537C6F" w:rsidRPr="00D74C4C" w:rsidRDefault="00537C6F" w:rsidP="00537C6F">
            <w:pPr>
              <w:pStyle w:val="tabletext"/>
              <w:jc w:val="both"/>
              <w:rPr>
                <w:sz w:val="20"/>
                <w:lang w:val="es-ES"/>
              </w:rPr>
            </w:pPr>
          </w:p>
        </w:tc>
      </w:tr>
      <w:tr w:rsidR="00537C6F" w:rsidRPr="00660CD1" w14:paraId="13C43A70" w14:textId="77777777" w:rsidTr="00537C6F">
        <w:trPr>
          <w:trHeight w:val="249"/>
        </w:trPr>
        <w:tc>
          <w:tcPr>
            <w:tcW w:w="9965" w:type="dxa"/>
            <w:gridSpan w:val="4"/>
            <w:vAlign w:val="center"/>
          </w:tcPr>
          <w:p w14:paraId="0A590291" w14:textId="77777777" w:rsidR="00537C6F" w:rsidRPr="00C57AA4" w:rsidRDefault="00537C6F" w:rsidP="00537C6F">
            <w:pPr>
              <w:pStyle w:val="tabletext"/>
              <w:jc w:val="center"/>
              <w:rPr>
                <w:sz w:val="20"/>
              </w:rPr>
            </w:pPr>
            <w:r>
              <w:rPr>
                <w:sz w:val="20"/>
                <w:lang w:val="es-MX"/>
              </w:rPr>
              <w:t>Dimensión resultado</w:t>
            </w:r>
          </w:p>
        </w:tc>
      </w:tr>
      <w:tr w:rsidR="00537C6F" w:rsidRPr="00660CD1" w14:paraId="6A6B8A48" w14:textId="77777777" w:rsidTr="00537C6F">
        <w:trPr>
          <w:trHeight w:val="249"/>
        </w:trPr>
        <w:tc>
          <w:tcPr>
            <w:tcW w:w="2259" w:type="dxa"/>
            <w:vAlign w:val="center"/>
          </w:tcPr>
          <w:p w14:paraId="6A029248" w14:textId="77777777" w:rsidR="00537C6F" w:rsidRDefault="00537C6F" w:rsidP="00537C6F">
            <w:pPr>
              <w:pStyle w:val="tabletext"/>
              <w:jc w:val="both"/>
              <w:rPr>
                <w:sz w:val="20"/>
                <w:lang w:val="es-MX"/>
              </w:rPr>
            </w:pPr>
          </w:p>
        </w:tc>
        <w:tc>
          <w:tcPr>
            <w:tcW w:w="3257" w:type="dxa"/>
            <w:vAlign w:val="center"/>
          </w:tcPr>
          <w:p w14:paraId="7FB2CBD0" w14:textId="77777777" w:rsidR="00537C6F" w:rsidRPr="00C57AA4" w:rsidRDefault="00537C6F" w:rsidP="00537C6F">
            <w:pPr>
              <w:pStyle w:val="tabletext"/>
              <w:jc w:val="both"/>
              <w:rPr>
                <w:sz w:val="20"/>
                <w:lang w:val="es-MX"/>
              </w:rPr>
            </w:pPr>
          </w:p>
        </w:tc>
        <w:tc>
          <w:tcPr>
            <w:tcW w:w="1423" w:type="dxa"/>
          </w:tcPr>
          <w:p w14:paraId="0941EDD7" w14:textId="77777777" w:rsidR="00537C6F" w:rsidRPr="00C57AA4" w:rsidRDefault="00537C6F" w:rsidP="00537C6F">
            <w:pPr>
              <w:pStyle w:val="tabletext"/>
              <w:jc w:val="both"/>
              <w:rPr>
                <w:rFonts w:eastAsia="Arial"/>
                <w:sz w:val="20"/>
              </w:rPr>
            </w:pPr>
          </w:p>
        </w:tc>
        <w:tc>
          <w:tcPr>
            <w:tcW w:w="3026" w:type="dxa"/>
          </w:tcPr>
          <w:p w14:paraId="414E0D93" w14:textId="77777777" w:rsidR="00537C6F" w:rsidRPr="00C57AA4" w:rsidRDefault="00537C6F" w:rsidP="00537C6F">
            <w:pPr>
              <w:pStyle w:val="tabletext"/>
              <w:jc w:val="both"/>
              <w:rPr>
                <w:sz w:val="20"/>
              </w:rPr>
            </w:pPr>
          </w:p>
        </w:tc>
      </w:tr>
      <w:tr w:rsidR="00537C6F" w:rsidRPr="00434D0A" w14:paraId="1F999768" w14:textId="77777777" w:rsidTr="00537C6F">
        <w:trPr>
          <w:trHeight w:val="249"/>
        </w:trPr>
        <w:tc>
          <w:tcPr>
            <w:tcW w:w="2259" w:type="dxa"/>
            <w:vAlign w:val="center"/>
          </w:tcPr>
          <w:p w14:paraId="3AA4C9BE" w14:textId="77777777" w:rsidR="00537C6F" w:rsidRDefault="00537C6F" w:rsidP="00537C6F">
            <w:pPr>
              <w:pStyle w:val="tabletext"/>
              <w:jc w:val="both"/>
              <w:rPr>
                <w:sz w:val="20"/>
                <w:lang w:val="es-MX"/>
              </w:rPr>
            </w:pPr>
            <w:r w:rsidRPr="00C57AA4">
              <w:rPr>
                <w:sz w:val="20"/>
                <w:lang w:val="es-MX"/>
              </w:rPr>
              <w:t>Mortalidad general por ECV</w:t>
            </w:r>
          </w:p>
        </w:tc>
        <w:tc>
          <w:tcPr>
            <w:tcW w:w="3257" w:type="dxa"/>
            <w:vAlign w:val="center"/>
          </w:tcPr>
          <w:p w14:paraId="5EDC52D7" w14:textId="77777777" w:rsidR="00537C6F" w:rsidRPr="00C57AA4" w:rsidRDefault="00537C6F" w:rsidP="00537C6F">
            <w:pPr>
              <w:pStyle w:val="tabletext"/>
              <w:jc w:val="both"/>
              <w:rPr>
                <w:sz w:val="20"/>
                <w:lang w:val="es-MX"/>
              </w:rPr>
            </w:pPr>
            <w:r>
              <w:rPr>
                <w:sz w:val="20"/>
                <w:lang w:val="es-MX"/>
              </w:rPr>
              <w:t>#</w:t>
            </w:r>
            <w:r w:rsidRPr="00C57AA4">
              <w:rPr>
                <w:sz w:val="20"/>
                <w:lang w:val="es-MX"/>
              </w:rPr>
              <w:t xml:space="preserve"> de defunciones ECV/ población total de defunciones x 100</w:t>
            </w:r>
          </w:p>
        </w:tc>
        <w:tc>
          <w:tcPr>
            <w:tcW w:w="1423" w:type="dxa"/>
          </w:tcPr>
          <w:p w14:paraId="4562F39F" w14:textId="77777777" w:rsidR="00537C6F" w:rsidRPr="00D74C4C" w:rsidRDefault="00537C6F" w:rsidP="00537C6F">
            <w:pPr>
              <w:pStyle w:val="tabletext"/>
              <w:jc w:val="both"/>
              <w:rPr>
                <w:rFonts w:eastAsia="Arial"/>
                <w:sz w:val="20"/>
                <w:lang w:val="es-ES"/>
              </w:rPr>
            </w:pPr>
            <w:r w:rsidRPr="00D74C4C">
              <w:rPr>
                <w:rFonts w:eastAsia="Arial"/>
                <w:sz w:val="20"/>
                <w:lang w:val="es-ES"/>
              </w:rPr>
              <w:t>1 fallecido por ECV por cada 100 fallecidos</w:t>
            </w:r>
          </w:p>
        </w:tc>
        <w:tc>
          <w:tcPr>
            <w:tcW w:w="3026" w:type="dxa"/>
          </w:tcPr>
          <w:p w14:paraId="0028FBB9" w14:textId="77777777" w:rsidR="00537C6F" w:rsidRPr="00D74C4C" w:rsidRDefault="00537C6F" w:rsidP="00537C6F">
            <w:pPr>
              <w:pStyle w:val="tabletext"/>
              <w:rPr>
                <w:sz w:val="20"/>
                <w:lang w:val="es-ES"/>
              </w:rPr>
            </w:pPr>
            <w:r w:rsidRPr="00D74C4C">
              <w:rPr>
                <w:sz w:val="20"/>
                <w:lang w:val="es-ES"/>
              </w:rPr>
              <w:t>No aceptable: si excede 1 fallecido por ECV x cada 100 fallecidos.</w:t>
            </w:r>
          </w:p>
          <w:p w14:paraId="3F4D9D55" w14:textId="77777777" w:rsidR="00537C6F" w:rsidRPr="00D74C4C" w:rsidRDefault="00537C6F" w:rsidP="00537C6F">
            <w:pPr>
              <w:pStyle w:val="tabletext"/>
              <w:jc w:val="both"/>
              <w:rPr>
                <w:sz w:val="20"/>
                <w:lang w:val="es-ES"/>
              </w:rPr>
            </w:pPr>
            <w:r w:rsidRPr="00D74C4C">
              <w:rPr>
                <w:sz w:val="20"/>
                <w:lang w:val="es-ES"/>
              </w:rPr>
              <w:t>Aceptable. Si no cumple lo anterior.</w:t>
            </w:r>
          </w:p>
        </w:tc>
      </w:tr>
      <w:tr w:rsidR="00537C6F" w:rsidRPr="00434D0A" w14:paraId="4B3A7695" w14:textId="77777777" w:rsidTr="00537C6F">
        <w:trPr>
          <w:trHeight w:val="249"/>
        </w:trPr>
        <w:tc>
          <w:tcPr>
            <w:tcW w:w="2259" w:type="dxa"/>
            <w:vAlign w:val="center"/>
          </w:tcPr>
          <w:p w14:paraId="62522441" w14:textId="77777777" w:rsidR="00537C6F" w:rsidRPr="00C57AA4" w:rsidRDefault="00537C6F" w:rsidP="00537C6F">
            <w:pPr>
              <w:pStyle w:val="tabletext"/>
              <w:jc w:val="both"/>
              <w:rPr>
                <w:sz w:val="20"/>
                <w:lang w:val="es-MX"/>
              </w:rPr>
            </w:pPr>
            <w:r w:rsidRPr="00C57AA4">
              <w:rPr>
                <w:sz w:val="20"/>
                <w:lang w:val="es-MX"/>
              </w:rPr>
              <w:t xml:space="preserve">Mortalidad prematura por ECV </w:t>
            </w:r>
          </w:p>
        </w:tc>
        <w:tc>
          <w:tcPr>
            <w:tcW w:w="3257" w:type="dxa"/>
            <w:vAlign w:val="center"/>
          </w:tcPr>
          <w:p w14:paraId="0445C9A7" w14:textId="77777777" w:rsidR="00537C6F" w:rsidRDefault="00537C6F" w:rsidP="00537C6F">
            <w:pPr>
              <w:pStyle w:val="tabletext"/>
              <w:jc w:val="both"/>
              <w:rPr>
                <w:sz w:val="20"/>
                <w:lang w:val="es-MX"/>
              </w:rPr>
            </w:pPr>
            <w:r>
              <w:rPr>
                <w:sz w:val="20"/>
                <w:lang w:val="es-MX"/>
              </w:rPr>
              <w:t>#</w:t>
            </w:r>
            <w:r w:rsidRPr="00D113E7">
              <w:rPr>
                <w:sz w:val="20"/>
                <w:lang w:val="es-MX"/>
              </w:rPr>
              <w:t xml:space="preserve"> de defunciones de menos de 74 años por ECV/ total de fallecidos ECV x 100</w:t>
            </w:r>
          </w:p>
        </w:tc>
        <w:tc>
          <w:tcPr>
            <w:tcW w:w="1423" w:type="dxa"/>
            <w:vAlign w:val="center"/>
          </w:tcPr>
          <w:p w14:paraId="0455BEB3" w14:textId="77777777" w:rsidR="00537C6F" w:rsidRPr="00D74C4C" w:rsidRDefault="00537C6F" w:rsidP="00537C6F">
            <w:pPr>
              <w:pStyle w:val="tabletext"/>
              <w:jc w:val="both"/>
              <w:rPr>
                <w:rFonts w:eastAsia="Arial"/>
                <w:sz w:val="20"/>
                <w:lang w:val="es-ES"/>
              </w:rPr>
            </w:pPr>
            <w:r w:rsidRPr="00D74C4C">
              <w:rPr>
                <w:rFonts w:hint="eastAsia"/>
                <w:sz w:val="20"/>
                <w:lang w:val="es-ES"/>
              </w:rPr>
              <w:t>≥</w:t>
            </w:r>
            <w:r w:rsidRPr="00D74C4C">
              <w:rPr>
                <w:rFonts w:hint="eastAsia"/>
                <w:sz w:val="20"/>
                <w:lang w:val="es-ES"/>
              </w:rPr>
              <w:t xml:space="preserve"> 25% de los fallecidos son menores de 74 años</w:t>
            </w:r>
          </w:p>
        </w:tc>
        <w:tc>
          <w:tcPr>
            <w:tcW w:w="3026" w:type="dxa"/>
          </w:tcPr>
          <w:p w14:paraId="688180E3" w14:textId="77777777" w:rsidR="00537C6F" w:rsidRPr="00D74C4C" w:rsidRDefault="00537C6F" w:rsidP="00537C6F">
            <w:pPr>
              <w:pStyle w:val="tabletext"/>
              <w:rPr>
                <w:sz w:val="20"/>
                <w:lang w:val="es-ES"/>
              </w:rPr>
            </w:pPr>
            <w:r w:rsidRPr="00D74C4C">
              <w:rPr>
                <w:rFonts w:hint="eastAsia"/>
                <w:sz w:val="20"/>
                <w:lang w:val="es-ES"/>
              </w:rPr>
              <w:t xml:space="preserve">No aceptable: </w:t>
            </w:r>
            <w:r w:rsidRPr="00D74C4C">
              <w:rPr>
                <w:rFonts w:hint="eastAsia"/>
                <w:sz w:val="20"/>
                <w:lang w:val="es-ES"/>
              </w:rPr>
              <w:t>≥</w:t>
            </w:r>
            <w:r w:rsidRPr="00D74C4C">
              <w:rPr>
                <w:rFonts w:hint="eastAsia"/>
                <w:sz w:val="20"/>
                <w:lang w:val="es-ES"/>
              </w:rPr>
              <w:t xml:space="preserve"> 25% de los fallecidos son menores de 74 años</w:t>
            </w:r>
            <w:r w:rsidRPr="00D74C4C">
              <w:rPr>
                <w:sz w:val="20"/>
                <w:lang w:val="es-ES"/>
              </w:rPr>
              <w:t>.</w:t>
            </w:r>
            <w:r w:rsidRPr="00D74C4C">
              <w:rPr>
                <w:rFonts w:hint="eastAsia"/>
                <w:sz w:val="20"/>
                <w:lang w:val="es-ES"/>
              </w:rPr>
              <w:t xml:space="preserve"> Aceptable. Si no cumple lo anterior</w:t>
            </w:r>
            <w:r w:rsidRPr="00D74C4C">
              <w:rPr>
                <w:sz w:val="20"/>
                <w:lang w:val="es-ES"/>
              </w:rPr>
              <w:t>.</w:t>
            </w:r>
          </w:p>
        </w:tc>
      </w:tr>
      <w:tr w:rsidR="00537C6F" w:rsidRPr="00434D0A" w14:paraId="5DF1AFC7" w14:textId="77777777" w:rsidTr="00537C6F">
        <w:trPr>
          <w:trHeight w:val="249"/>
        </w:trPr>
        <w:tc>
          <w:tcPr>
            <w:tcW w:w="2259" w:type="dxa"/>
            <w:vAlign w:val="center"/>
          </w:tcPr>
          <w:p w14:paraId="1CE3FE1C" w14:textId="77777777" w:rsidR="00537C6F" w:rsidRPr="00C57AA4" w:rsidRDefault="00537C6F" w:rsidP="00537C6F">
            <w:pPr>
              <w:pStyle w:val="tabletext"/>
              <w:jc w:val="both"/>
              <w:rPr>
                <w:sz w:val="20"/>
                <w:lang w:val="es-MX"/>
              </w:rPr>
            </w:pPr>
            <w:r w:rsidRPr="00D74C4C">
              <w:rPr>
                <w:sz w:val="20"/>
                <w:lang w:val="es-ES"/>
              </w:rPr>
              <w:t>Mortalidad por tipo de ECV (Oclusiva, hemorrágica, otras formas, secuelas</w:t>
            </w:r>
            <w:r>
              <w:rPr>
                <w:sz w:val="20"/>
                <w:lang w:val="es-ES"/>
              </w:rPr>
              <w:t>)</w:t>
            </w:r>
          </w:p>
        </w:tc>
        <w:tc>
          <w:tcPr>
            <w:tcW w:w="3257" w:type="dxa"/>
            <w:vAlign w:val="center"/>
          </w:tcPr>
          <w:p w14:paraId="719832B0" w14:textId="77777777" w:rsidR="00537C6F" w:rsidRDefault="00537C6F" w:rsidP="00537C6F">
            <w:pPr>
              <w:pStyle w:val="tabletext"/>
              <w:jc w:val="both"/>
              <w:rPr>
                <w:sz w:val="20"/>
                <w:lang w:val="es-MX"/>
              </w:rPr>
            </w:pPr>
            <w:r w:rsidRPr="00D74C4C">
              <w:rPr>
                <w:sz w:val="20"/>
                <w:lang w:val="es-ES"/>
              </w:rPr>
              <w:t># Total de casos de ECV por formas clínicas seleccionadas/ población total de defunciones de la enfermedad x 100</w:t>
            </w:r>
          </w:p>
        </w:tc>
        <w:tc>
          <w:tcPr>
            <w:tcW w:w="1423" w:type="dxa"/>
            <w:vAlign w:val="center"/>
          </w:tcPr>
          <w:p w14:paraId="76DD84D1" w14:textId="6086646F" w:rsidR="00537C6F" w:rsidRPr="00D74C4C" w:rsidRDefault="00537C6F" w:rsidP="00537C6F">
            <w:pPr>
              <w:pStyle w:val="tabletext"/>
              <w:jc w:val="both"/>
              <w:rPr>
                <w:sz w:val="20"/>
                <w:lang w:val="es-ES"/>
              </w:rPr>
            </w:pPr>
            <w:r w:rsidRPr="00D74C4C">
              <w:rPr>
                <w:rFonts w:hint="eastAsia"/>
                <w:sz w:val="20"/>
                <w:lang w:val="es-ES"/>
              </w:rPr>
              <w:t>≥</w:t>
            </w:r>
            <w:r w:rsidRPr="00D74C4C">
              <w:rPr>
                <w:rFonts w:hint="eastAsia"/>
                <w:sz w:val="20"/>
                <w:lang w:val="es-ES"/>
              </w:rPr>
              <w:t>25% de los fallecidos para cada uno de los tipos de ECV</w:t>
            </w:r>
          </w:p>
        </w:tc>
        <w:tc>
          <w:tcPr>
            <w:tcW w:w="3026" w:type="dxa"/>
          </w:tcPr>
          <w:p w14:paraId="2B3D41EF" w14:textId="28359FFA" w:rsidR="00537C6F" w:rsidRPr="00D74C4C" w:rsidRDefault="00537C6F" w:rsidP="00537C6F">
            <w:pPr>
              <w:pStyle w:val="tabletext"/>
              <w:rPr>
                <w:sz w:val="20"/>
                <w:lang w:val="es-ES"/>
              </w:rPr>
            </w:pPr>
            <w:r w:rsidRPr="00D74C4C">
              <w:rPr>
                <w:rFonts w:hint="eastAsia"/>
                <w:sz w:val="20"/>
                <w:lang w:val="es-ES"/>
              </w:rPr>
              <w:t xml:space="preserve">No aceptable: si alguna de los tipos de ECV es </w:t>
            </w:r>
            <w:r w:rsidR="00AA3821" w:rsidRPr="00D74C4C">
              <w:rPr>
                <w:rFonts w:hint="eastAsia"/>
                <w:sz w:val="20"/>
                <w:lang w:val="es-ES"/>
              </w:rPr>
              <w:t>≥</w:t>
            </w:r>
            <w:r w:rsidRPr="00D74C4C">
              <w:rPr>
                <w:rFonts w:hint="eastAsia"/>
                <w:sz w:val="20"/>
                <w:lang w:val="es-ES"/>
              </w:rPr>
              <w:t xml:space="preserve"> 25% </w:t>
            </w:r>
            <w:r w:rsidRPr="00D74C4C">
              <w:rPr>
                <w:sz w:val="20"/>
                <w:lang w:val="es-ES"/>
              </w:rPr>
              <w:t>de fallecidos</w:t>
            </w:r>
            <w:r w:rsidRPr="00D74C4C">
              <w:rPr>
                <w:sz w:val="20"/>
                <w:lang w:val="es-ES"/>
              </w:rPr>
              <w:t>.</w:t>
            </w:r>
          </w:p>
          <w:p w14:paraId="681738FA" w14:textId="77777777" w:rsidR="00537C6F" w:rsidRPr="00D74C4C" w:rsidRDefault="00537C6F" w:rsidP="00537C6F">
            <w:pPr>
              <w:pStyle w:val="tabletext"/>
              <w:rPr>
                <w:sz w:val="20"/>
                <w:lang w:val="es-ES"/>
              </w:rPr>
            </w:pPr>
            <w:r w:rsidRPr="00D74C4C">
              <w:rPr>
                <w:sz w:val="20"/>
                <w:lang w:val="es-ES"/>
              </w:rPr>
              <w:t>Aceptable. Si no cumple lo anterior.</w:t>
            </w:r>
          </w:p>
        </w:tc>
      </w:tr>
    </w:tbl>
    <w:p w14:paraId="383DCB50" w14:textId="77777777" w:rsidR="00537C6F" w:rsidRDefault="00537C6F" w:rsidP="00537C6F">
      <w:pPr>
        <w:ind w:firstLine="0"/>
        <w:jc w:val="left"/>
        <w:rPr>
          <w:lang w:val="es-ES"/>
        </w:rPr>
      </w:pPr>
      <w:r>
        <w:rPr>
          <w:lang w:val="es-ES"/>
        </w:rPr>
        <w:t xml:space="preserve">        </w:t>
      </w:r>
    </w:p>
    <w:p w14:paraId="481C1B2E" w14:textId="5EF2EDEC" w:rsidR="00537C6F" w:rsidRDefault="00537C6F" w:rsidP="00537C6F">
      <w:pPr>
        <w:ind w:firstLine="0"/>
        <w:jc w:val="left"/>
        <w:rPr>
          <w:lang w:val="es-ES"/>
        </w:rPr>
      </w:pPr>
      <w:r>
        <w:rPr>
          <w:lang w:val="es-ES"/>
        </w:rPr>
        <w:t xml:space="preserve">        </w:t>
      </w:r>
      <w:r w:rsidRPr="00D74C4C">
        <w:rPr>
          <w:lang w:val="es-ES"/>
        </w:rPr>
        <w:t>Fuente: Elaboración propia a partir del anuario estadístico 2023</w:t>
      </w:r>
    </w:p>
    <w:p w14:paraId="6B1881A2" w14:textId="77777777" w:rsidR="00537C6F" w:rsidRDefault="00537C6F" w:rsidP="00537C6F">
      <w:pPr>
        <w:ind w:firstLine="0"/>
        <w:rPr>
          <w:sz w:val="24"/>
          <w:szCs w:val="24"/>
          <w:lang w:val="es-VE"/>
        </w:rPr>
      </w:pPr>
    </w:p>
    <w:p w14:paraId="54E2C597" w14:textId="753E1E2C" w:rsidR="00537C6F" w:rsidRDefault="00537C6F" w:rsidP="00537C6F">
      <w:pPr>
        <w:ind w:firstLine="0"/>
        <w:rPr>
          <w:sz w:val="24"/>
          <w:szCs w:val="24"/>
          <w:lang w:val="es-VE"/>
        </w:rPr>
      </w:pPr>
      <w:r>
        <w:rPr>
          <w:sz w:val="24"/>
          <w:szCs w:val="24"/>
          <w:lang w:val="es-VE"/>
        </w:rPr>
        <w:t>Análisis de los resultados</w:t>
      </w:r>
    </w:p>
    <w:p w14:paraId="1AC307F3" w14:textId="77777777" w:rsidR="00537C6F" w:rsidRDefault="00537C6F" w:rsidP="00537C6F">
      <w:pPr>
        <w:ind w:firstLine="0"/>
        <w:rPr>
          <w:sz w:val="24"/>
          <w:szCs w:val="24"/>
          <w:lang w:val="es-VE"/>
        </w:rPr>
      </w:pPr>
    </w:p>
    <w:p w14:paraId="4714C3CD" w14:textId="77777777" w:rsidR="00537C6F" w:rsidRPr="009F6AB6" w:rsidRDefault="00537C6F" w:rsidP="00537C6F">
      <w:pPr>
        <w:ind w:firstLine="0"/>
        <w:rPr>
          <w:sz w:val="24"/>
          <w:szCs w:val="24"/>
          <w:lang w:val="es-VE"/>
        </w:rPr>
      </w:pPr>
      <w:r w:rsidRPr="009F6AB6">
        <w:rPr>
          <w:sz w:val="24"/>
          <w:szCs w:val="24"/>
          <w:lang w:val="es-VE"/>
        </w:rPr>
        <w:t>La evaluación de las Enfermedades Cerebrovasculares se avala por los indicadores descritos por medio del Programa Nacional de Prevención y Control de las Enfermedades Cerebrovasculares.</w:t>
      </w:r>
    </w:p>
    <w:p w14:paraId="02A8771A" w14:textId="77777777" w:rsidR="00537C6F" w:rsidRDefault="00537C6F" w:rsidP="00537C6F">
      <w:pPr>
        <w:rPr>
          <w:sz w:val="24"/>
          <w:szCs w:val="24"/>
          <w:lang w:val="es-VE"/>
        </w:rPr>
      </w:pPr>
      <w:r w:rsidRPr="009F6AB6">
        <w:rPr>
          <w:sz w:val="24"/>
          <w:szCs w:val="24"/>
          <w:lang w:val="es-VE"/>
        </w:rPr>
        <w:t>Los datos obtenidos en el Anuario Estadístico de Salud refieren que la población cubana está compuesta por 11 101 363 habitantes, distribuidos en 15 provincias y 168 municipios. El 22,3% de las personas tiene 60 años y más de edad. En el año 2022, se reportan 120 105 defunciones. La tasa de mortalidad general es de 10,8 defunciones por cada 1 000 habitantes. La mortalidad por enfermedades cerebrovasculares es mayor, en edades avanzadas, con tasas más elevadas para la forma oclusiva.</w:t>
      </w:r>
    </w:p>
    <w:p w14:paraId="13EDDBF1" w14:textId="77777777" w:rsidR="00537C6F" w:rsidRPr="009F6AB6" w:rsidRDefault="00537C6F" w:rsidP="00537C6F">
      <w:pPr>
        <w:rPr>
          <w:sz w:val="24"/>
          <w:szCs w:val="24"/>
          <w:lang w:val="es-VE"/>
        </w:rPr>
      </w:pPr>
    </w:p>
    <w:p w14:paraId="271B6893" w14:textId="77777777" w:rsidR="00537C6F" w:rsidRDefault="00537C6F" w:rsidP="00537C6F">
      <w:pPr>
        <w:rPr>
          <w:sz w:val="24"/>
          <w:szCs w:val="24"/>
          <w:lang w:val="es-VE"/>
        </w:rPr>
      </w:pPr>
      <w:r w:rsidRPr="009F6AB6">
        <w:rPr>
          <w:sz w:val="24"/>
          <w:szCs w:val="24"/>
          <w:lang w:val="es-VE"/>
        </w:rPr>
        <w:t xml:space="preserve">El territorio cubano cuenta con 464 118 trabajadores de la salud, que representan el 6,5% de la población en edad laboral. La tasa de médicos por 10 000 habitantes es de 84 y se ofrecen por habitante, 9,8 consultas médicas. En la atención primaria, el 81,9% de las consultas externas se realizan por médicos de familia. </w:t>
      </w:r>
    </w:p>
    <w:p w14:paraId="61878679" w14:textId="77777777" w:rsidR="00537C6F" w:rsidRDefault="00537C6F" w:rsidP="00537C6F">
      <w:pPr>
        <w:ind w:firstLine="0"/>
        <w:rPr>
          <w:sz w:val="24"/>
          <w:szCs w:val="24"/>
          <w:lang w:val="es-VE"/>
        </w:rPr>
      </w:pPr>
    </w:p>
    <w:p w14:paraId="273EBD34" w14:textId="77777777" w:rsidR="00537C6F" w:rsidRPr="009F6AB6" w:rsidRDefault="00537C6F" w:rsidP="00537C6F">
      <w:pPr>
        <w:ind w:firstLine="0"/>
        <w:rPr>
          <w:sz w:val="24"/>
          <w:szCs w:val="24"/>
          <w:lang w:val="es-VE"/>
        </w:rPr>
      </w:pPr>
      <w:r w:rsidRPr="009F6AB6">
        <w:rPr>
          <w:sz w:val="24"/>
          <w:szCs w:val="24"/>
          <w:lang w:val="es-VE"/>
        </w:rPr>
        <w:t>En la Atención Primaria de Salud (APS) el total de médicos de la familia ubicados en la comunidad es de 22 774, total de médicos especialistas en medicina interna en todo el país es de 3456, el número del personal de enfermería en APS es de 45 000, el total de consultorios médicos de la familia (CMF) 11 432, y el total de la población cubana en edad laboral es de 8 759 045, el total de defunciones por ECV fue de 11 383, de los cuales 4 197 eran menores de 74 años.</w:t>
      </w:r>
    </w:p>
    <w:p w14:paraId="2CED474A" w14:textId="77777777" w:rsidR="00537C6F" w:rsidRDefault="00537C6F" w:rsidP="00537C6F">
      <w:pPr>
        <w:ind w:firstLine="0"/>
        <w:rPr>
          <w:sz w:val="24"/>
          <w:szCs w:val="24"/>
          <w:lang w:val="es-VE"/>
        </w:rPr>
      </w:pPr>
    </w:p>
    <w:p w14:paraId="6920740B" w14:textId="77777777" w:rsidR="00537C6F" w:rsidRPr="00537C6F" w:rsidRDefault="00537C6F" w:rsidP="00537C6F">
      <w:pPr>
        <w:ind w:firstLine="0"/>
        <w:rPr>
          <w:lang w:val="es-VE"/>
        </w:rPr>
      </w:pPr>
    </w:p>
    <w:p w14:paraId="036CA03F" w14:textId="77777777" w:rsidR="00806900" w:rsidRDefault="00806900">
      <w:pPr>
        <w:tabs>
          <w:tab w:val="clear" w:pos="340"/>
          <w:tab w:val="clear" w:pos="680"/>
        </w:tabs>
        <w:ind w:firstLine="0"/>
        <w:jc w:val="left"/>
        <w:rPr>
          <w:lang w:val="es-VE"/>
        </w:rPr>
      </w:pPr>
    </w:p>
    <w:p w14:paraId="40E54712" w14:textId="77777777" w:rsidR="00537C6F" w:rsidRDefault="00537C6F">
      <w:pPr>
        <w:tabs>
          <w:tab w:val="clear" w:pos="340"/>
          <w:tab w:val="clear" w:pos="680"/>
        </w:tabs>
        <w:ind w:firstLine="0"/>
        <w:jc w:val="left"/>
      </w:pPr>
    </w:p>
    <w:p w14:paraId="7226C854" w14:textId="77777777" w:rsidR="00537C6F" w:rsidRDefault="00537C6F">
      <w:pPr>
        <w:tabs>
          <w:tab w:val="clear" w:pos="340"/>
          <w:tab w:val="clear" w:pos="680"/>
        </w:tabs>
        <w:ind w:firstLine="0"/>
        <w:jc w:val="left"/>
      </w:pPr>
    </w:p>
    <w:p w14:paraId="600908C8" w14:textId="77777777" w:rsidR="00537C6F" w:rsidRPr="00266E9A" w:rsidRDefault="00537C6F" w:rsidP="00537C6F">
      <w:pPr>
        <w:ind w:firstLine="0"/>
        <w:jc w:val="center"/>
        <w:rPr>
          <w:lang w:val="es-VE"/>
        </w:rPr>
      </w:pPr>
      <w:r w:rsidRPr="000F5F1D">
        <w:rPr>
          <w:lang w:val="es-VE"/>
        </w:rPr>
        <w:t>Tabla</w:t>
      </w:r>
      <w:r w:rsidRPr="00D74C4C">
        <w:rPr>
          <w:lang w:val="es-ES"/>
        </w:rPr>
        <w:t xml:space="preserve"> </w:t>
      </w:r>
      <w:r>
        <w:rPr>
          <w:lang w:val="es-ES"/>
        </w:rPr>
        <w:t>2</w:t>
      </w:r>
      <w:r w:rsidRPr="00D74C4C">
        <w:rPr>
          <w:lang w:val="es-ES"/>
        </w:rPr>
        <w:t>.</w:t>
      </w:r>
      <w:r>
        <w:rPr>
          <w:lang w:val="es-VE"/>
        </w:rPr>
        <w:t xml:space="preserve"> Resultados de la dimensión estructura, proceso y resultados</w:t>
      </w:r>
    </w:p>
    <w:p w14:paraId="55A2C12A" w14:textId="77777777" w:rsidR="00537C6F" w:rsidRDefault="00537C6F" w:rsidP="00537C6F">
      <w:pPr>
        <w:ind w:firstLine="0"/>
        <w:rPr>
          <w:sz w:val="24"/>
          <w:szCs w:val="24"/>
          <w:lang w:val="es-VE"/>
        </w:rPr>
      </w:pPr>
    </w:p>
    <w:tbl>
      <w:tblPr>
        <w:tblpPr w:leftFromText="141" w:rightFromText="141" w:vertAnchor="page" w:horzAnchor="margin" w:tblpY="2596"/>
        <w:tblW w:w="10461" w:type="dxa"/>
        <w:tblLayout w:type="fixed"/>
        <w:tblCellMar>
          <w:top w:w="11" w:type="dxa"/>
          <w:left w:w="57" w:type="dxa"/>
          <w:bottom w:w="11" w:type="dxa"/>
          <w:right w:w="57" w:type="dxa"/>
        </w:tblCellMar>
        <w:tblLook w:val="0000" w:firstRow="0" w:lastRow="0" w:firstColumn="0" w:lastColumn="0" w:noHBand="0" w:noVBand="0"/>
      </w:tblPr>
      <w:tblGrid>
        <w:gridCol w:w="2372"/>
        <w:gridCol w:w="3724"/>
        <w:gridCol w:w="1189"/>
        <w:gridCol w:w="3176"/>
      </w:tblGrid>
      <w:tr w:rsidR="00537C6F" w:rsidRPr="00660CD1" w14:paraId="41DC85A9" w14:textId="77777777" w:rsidTr="0006680F">
        <w:trPr>
          <w:trHeight w:val="273"/>
        </w:trPr>
        <w:tc>
          <w:tcPr>
            <w:tcW w:w="2372" w:type="dxa"/>
            <w:tcBorders>
              <w:top w:val="single" w:sz="4" w:space="0" w:color="auto"/>
              <w:bottom w:val="single" w:sz="4" w:space="0" w:color="auto"/>
            </w:tcBorders>
            <w:vAlign w:val="center"/>
          </w:tcPr>
          <w:p w14:paraId="12B76F48" w14:textId="77777777" w:rsidR="00537C6F" w:rsidRPr="00660CD1" w:rsidRDefault="00537C6F" w:rsidP="0006680F">
            <w:r w:rsidRPr="000F5F1D">
              <w:rPr>
                <w:lang w:val="es-MX"/>
              </w:rPr>
              <w:t>Criterios</w:t>
            </w:r>
          </w:p>
        </w:tc>
        <w:tc>
          <w:tcPr>
            <w:tcW w:w="3724" w:type="dxa"/>
            <w:tcBorders>
              <w:top w:val="single" w:sz="4" w:space="0" w:color="auto"/>
              <w:bottom w:val="single" w:sz="4" w:space="0" w:color="auto"/>
            </w:tcBorders>
            <w:vAlign w:val="center"/>
          </w:tcPr>
          <w:p w14:paraId="2234D32F" w14:textId="77777777" w:rsidR="00537C6F" w:rsidRPr="00660CD1" w:rsidRDefault="00537C6F" w:rsidP="0006680F">
            <w:pPr>
              <w:pStyle w:val="tablehead"/>
              <w:rPr>
                <w:sz w:val="20"/>
              </w:rPr>
            </w:pPr>
            <w:r>
              <w:rPr>
                <w:sz w:val="20"/>
                <w:lang w:val="es-MX"/>
              </w:rPr>
              <w:t>Estándar</w:t>
            </w:r>
          </w:p>
        </w:tc>
        <w:tc>
          <w:tcPr>
            <w:tcW w:w="1189" w:type="dxa"/>
            <w:tcBorders>
              <w:top w:val="single" w:sz="4" w:space="0" w:color="auto"/>
              <w:bottom w:val="single" w:sz="4" w:space="0" w:color="auto"/>
            </w:tcBorders>
            <w:vAlign w:val="center"/>
          </w:tcPr>
          <w:p w14:paraId="5F966420" w14:textId="77777777" w:rsidR="00537C6F" w:rsidRPr="00660CD1" w:rsidRDefault="00537C6F" w:rsidP="0006680F">
            <w:pPr>
              <w:pStyle w:val="tablehead"/>
              <w:rPr>
                <w:sz w:val="20"/>
              </w:rPr>
            </w:pPr>
            <w:r>
              <w:rPr>
                <w:sz w:val="20"/>
                <w:lang w:val="es-MX"/>
              </w:rPr>
              <w:t>Resultado</w:t>
            </w:r>
          </w:p>
        </w:tc>
        <w:tc>
          <w:tcPr>
            <w:tcW w:w="3176" w:type="dxa"/>
            <w:tcBorders>
              <w:top w:val="single" w:sz="4" w:space="0" w:color="auto"/>
              <w:bottom w:val="single" w:sz="4" w:space="0" w:color="auto"/>
            </w:tcBorders>
          </w:tcPr>
          <w:p w14:paraId="278C065A" w14:textId="77777777" w:rsidR="00537C6F" w:rsidRPr="00660CD1" w:rsidRDefault="00537C6F" w:rsidP="0006680F">
            <w:pPr>
              <w:pStyle w:val="tablehead"/>
              <w:rPr>
                <w:sz w:val="20"/>
              </w:rPr>
            </w:pPr>
            <w:r>
              <w:rPr>
                <w:sz w:val="20"/>
                <w:lang w:val="es-MX"/>
              </w:rPr>
              <w:t>Evaluación</w:t>
            </w:r>
          </w:p>
        </w:tc>
      </w:tr>
      <w:tr w:rsidR="00537C6F" w:rsidRPr="00660CD1" w14:paraId="5F28F5CC" w14:textId="77777777" w:rsidTr="0006680F">
        <w:trPr>
          <w:trHeight w:val="244"/>
        </w:trPr>
        <w:tc>
          <w:tcPr>
            <w:tcW w:w="10461" w:type="dxa"/>
            <w:gridSpan w:val="4"/>
            <w:tcBorders>
              <w:top w:val="single" w:sz="4" w:space="0" w:color="auto"/>
            </w:tcBorders>
            <w:vAlign w:val="center"/>
          </w:tcPr>
          <w:p w14:paraId="44006B80" w14:textId="77777777" w:rsidR="00537C6F" w:rsidRDefault="00537C6F" w:rsidP="0006680F">
            <w:pPr>
              <w:pStyle w:val="tabletext"/>
              <w:jc w:val="center"/>
              <w:rPr>
                <w:sz w:val="20"/>
              </w:rPr>
            </w:pPr>
            <w:r>
              <w:rPr>
                <w:sz w:val="20"/>
                <w:lang w:val="es-MX"/>
              </w:rPr>
              <w:t>Dimensión estructura</w:t>
            </w:r>
          </w:p>
        </w:tc>
      </w:tr>
      <w:tr w:rsidR="00537C6F" w:rsidRPr="00660CD1" w14:paraId="79005EB3" w14:textId="77777777" w:rsidTr="0006680F">
        <w:trPr>
          <w:trHeight w:val="244"/>
        </w:trPr>
        <w:tc>
          <w:tcPr>
            <w:tcW w:w="2372" w:type="dxa"/>
            <w:tcBorders>
              <w:top w:val="single" w:sz="4" w:space="0" w:color="auto"/>
            </w:tcBorders>
            <w:vAlign w:val="center"/>
          </w:tcPr>
          <w:p w14:paraId="416A8D51" w14:textId="77777777" w:rsidR="00537C6F" w:rsidRPr="000F5F1D" w:rsidRDefault="00537C6F" w:rsidP="0006680F">
            <w:pPr>
              <w:pStyle w:val="tabletext"/>
              <w:rPr>
                <w:b/>
                <w:sz w:val="20"/>
                <w:lang w:val="es-MX"/>
              </w:rPr>
            </w:pPr>
            <w:r w:rsidRPr="000F5F1D">
              <w:rPr>
                <w:sz w:val="20"/>
                <w:lang w:val="es-MX"/>
              </w:rPr>
              <w:t>Disponibilidad de médicos de la familia</w:t>
            </w:r>
          </w:p>
        </w:tc>
        <w:tc>
          <w:tcPr>
            <w:tcW w:w="3724" w:type="dxa"/>
            <w:tcBorders>
              <w:top w:val="single" w:sz="4" w:space="0" w:color="auto"/>
            </w:tcBorders>
            <w:vAlign w:val="center"/>
          </w:tcPr>
          <w:p w14:paraId="2FBC4015" w14:textId="77777777" w:rsidR="00537C6F" w:rsidRPr="00660CD1" w:rsidRDefault="00537C6F" w:rsidP="0006680F">
            <w:pPr>
              <w:pStyle w:val="tabletext"/>
              <w:jc w:val="both"/>
              <w:rPr>
                <w:sz w:val="20"/>
              </w:rPr>
            </w:pPr>
            <w:r w:rsidRPr="00D113E7">
              <w:rPr>
                <w:sz w:val="20"/>
                <w:lang w:val="es-MX"/>
              </w:rPr>
              <w:t>1 m</w:t>
            </w:r>
            <w:r>
              <w:rPr>
                <w:sz w:val="20"/>
                <w:lang w:val="es-MX"/>
              </w:rPr>
              <w:t>é</w:t>
            </w:r>
            <w:r w:rsidRPr="00D113E7">
              <w:rPr>
                <w:sz w:val="20"/>
                <w:lang w:val="es-MX"/>
              </w:rPr>
              <w:t>dico por cada 100 habitantes</w:t>
            </w:r>
          </w:p>
        </w:tc>
        <w:tc>
          <w:tcPr>
            <w:tcW w:w="1189" w:type="dxa"/>
            <w:tcBorders>
              <w:top w:val="single" w:sz="4" w:space="0" w:color="auto"/>
            </w:tcBorders>
          </w:tcPr>
          <w:p w14:paraId="63F32F6E" w14:textId="77777777" w:rsidR="00537C6F" w:rsidRDefault="00537C6F" w:rsidP="0006680F">
            <w:pPr>
              <w:pStyle w:val="tabletext"/>
              <w:jc w:val="both"/>
              <w:rPr>
                <w:rFonts w:eastAsia="Arial"/>
                <w:sz w:val="20"/>
              </w:rPr>
            </w:pPr>
          </w:p>
          <w:p w14:paraId="036F8BF2" w14:textId="77777777" w:rsidR="00537C6F" w:rsidRPr="000F5F1D" w:rsidRDefault="00537C6F" w:rsidP="0006680F">
            <w:pPr>
              <w:pStyle w:val="tabletext"/>
              <w:jc w:val="center"/>
              <w:rPr>
                <w:sz w:val="20"/>
              </w:rPr>
            </w:pPr>
            <w:r w:rsidRPr="00D113E7">
              <w:rPr>
                <w:rFonts w:eastAsia="Arial"/>
                <w:sz w:val="20"/>
              </w:rPr>
              <w:t>0,2%</w:t>
            </w:r>
          </w:p>
        </w:tc>
        <w:tc>
          <w:tcPr>
            <w:tcW w:w="3176" w:type="dxa"/>
            <w:tcBorders>
              <w:top w:val="single" w:sz="4" w:space="0" w:color="auto"/>
            </w:tcBorders>
          </w:tcPr>
          <w:p w14:paraId="6958757D" w14:textId="77777777" w:rsidR="00537C6F" w:rsidRDefault="00537C6F" w:rsidP="0006680F">
            <w:pPr>
              <w:pStyle w:val="tabletext"/>
              <w:jc w:val="both"/>
              <w:rPr>
                <w:sz w:val="20"/>
              </w:rPr>
            </w:pPr>
          </w:p>
          <w:p w14:paraId="01A02D8E" w14:textId="77777777" w:rsidR="00537C6F" w:rsidRPr="00660CD1" w:rsidRDefault="00537C6F" w:rsidP="0006680F">
            <w:pPr>
              <w:pStyle w:val="tabletext"/>
              <w:jc w:val="center"/>
              <w:rPr>
                <w:sz w:val="20"/>
              </w:rPr>
            </w:pPr>
            <w:proofErr w:type="spellStart"/>
            <w:r w:rsidRPr="000F5F1D">
              <w:rPr>
                <w:sz w:val="20"/>
              </w:rPr>
              <w:t>Insuficiente</w:t>
            </w:r>
            <w:proofErr w:type="spellEnd"/>
          </w:p>
        </w:tc>
      </w:tr>
      <w:tr w:rsidR="00537C6F" w:rsidRPr="00660CD1" w14:paraId="6FBC6290" w14:textId="77777777" w:rsidTr="0006680F">
        <w:trPr>
          <w:trHeight w:val="244"/>
        </w:trPr>
        <w:tc>
          <w:tcPr>
            <w:tcW w:w="2372" w:type="dxa"/>
            <w:vAlign w:val="center"/>
          </w:tcPr>
          <w:p w14:paraId="1E3DE920" w14:textId="77777777" w:rsidR="00537C6F" w:rsidRPr="000F5F1D" w:rsidRDefault="00537C6F" w:rsidP="0006680F">
            <w:pPr>
              <w:pStyle w:val="tabletext"/>
              <w:rPr>
                <w:sz w:val="20"/>
                <w:lang w:val="es-MX"/>
              </w:rPr>
            </w:pPr>
            <w:r w:rsidRPr="00123100">
              <w:rPr>
                <w:sz w:val="20"/>
                <w:lang w:val="es-MX"/>
              </w:rPr>
              <w:t xml:space="preserve">Disponibilidad de personal de enfermería </w:t>
            </w:r>
          </w:p>
        </w:tc>
        <w:tc>
          <w:tcPr>
            <w:tcW w:w="3724" w:type="dxa"/>
            <w:vAlign w:val="center"/>
          </w:tcPr>
          <w:p w14:paraId="48252573" w14:textId="77777777" w:rsidR="00537C6F" w:rsidRPr="00660CD1" w:rsidRDefault="00537C6F" w:rsidP="0006680F">
            <w:pPr>
              <w:pStyle w:val="tabletext"/>
              <w:jc w:val="both"/>
              <w:rPr>
                <w:sz w:val="20"/>
              </w:rPr>
            </w:pPr>
            <w:r w:rsidRPr="00D113E7">
              <w:rPr>
                <w:sz w:val="20"/>
              </w:rPr>
              <w:t xml:space="preserve">1 </w:t>
            </w:r>
            <w:proofErr w:type="spellStart"/>
            <w:r w:rsidRPr="00D113E7">
              <w:rPr>
                <w:sz w:val="20"/>
              </w:rPr>
              <w:t>enfermera</w:t>
            </w:r>
            <w:proofErr w:type="spellEnd"/>
            <w:r w:rsidRPr="00D113E7">
              <w:rPr>
                <w:sz w:val="20"/>
              </w:rPr>
              <w:t xml:space="preserve"> </w:t>
            </w:r>
            <w:proofErr w:type="spellStart"/>
            <w:r w:rsidRPr="00D113E7">
              <w:rPr>
                <w:sz w:val="20"/>
              </w:rPr>
              <w:t>por</w:t>
            </w:r>
            <w:proofErr w:type="spellEnd"/>
            <w:r w:rsidRPr="00D113E7">
              <w:rPr>
                <w:sz w:val="20"/>
              </w:rPr>
              <w:t xml:space="preserve"> </w:t>
            </w:r>
            <w:proofErr w:type="spellStart"/>
            <w:r w:rsidRPr="00D113E7">
              <w:rPr>
                <w:sz w:val="20"/>
              </w:rPr>
              <w:t>cada</w:t>
            </w:r>
            <w:proofErr w:type="spellEnd"/>
            <w:r w:rsidRPr="00D113E7">
              <w:rPr>
                <w:sz w:val="20"/>
              </w:rPr>
              <w:t xml:space="preserve"> 120 </w:t>
            </w:r>
            <w:proofErr w:type="spellStart"/>
            <w:r w:rsidRPr="00D113E7">
              <w:rPr>
                <w:sz w:val="20"/>
              </w:rPr>
              <w:t>habitantes</w:t>
            </w:r>
            <w:proofErr w:type="spellEnd"/>
          </w:p>
        </w:tc>
        <w:tc>
          <w:tcPr>
            <w:tcW w:w="1189" w:type="dxa"/>
            <w:vAlign w:val="center"/>
          </w:tcPr>
          <w:p w14:paraId="541A88CA" w14:textId="77777777" w:rsidR="00537C6F" w:rsidRPr="00660CD1" w:rsidRDefault="00537C6F" w:rsidP="0006680F">
            <w:pPr>
              <w:pStyle w:val="tabletext"/>
              <w:jc w:val="center"/>
              <w:rPr>
                <w:sz w:val="20"/>
              </w:rPr>
            </w:pPr>
            <w:r>
              <w:rPr>
                <w:rFonts w:ascii="Arial" w:eastAsia="Arial" w:hAnsi="Arial" w:cs="Arial"/>
              </w:rPr>
              <w:t>0,4%</w:t>
            </w:r>
          </w:p>
        </w:tc>
        <w:tc>
          <w:tcPr>
            <w:tcW w:w="3176" w:type="dxa"/>
          </w:tcPr>
          <w:p w14:paraId="18FE8953" w14:textId="77777777" w:rsidR="00537C6F" w:rsidRDefault="00537C6F" w:rsidP="0006680F">
            <w:pPr>
              <w:pStyle w:val="tabletext"/>
              <w:jc w:val="both"/>
              <w:rPr>
                <w:sz w:val="20"/>
              </w:rPr>
            </w:pPr>
          </w:p>
          <w:p w14:paraId="77E6E3C1" w14:textId="77777777" w:rsidR="00537C6F" w:rsidRPr="00660CD1" w:rsidRDefault="00537C6F" w:rsidP="0006680F">
            <w:pPr>
              <w:pStyle w:val="tabletext"/>
              <w:jc w:val="center"/>
              <w:rPr>
                <w:sz w:val="20"/>
              </w:rPr>
            </w:pPr>
            <w:proofErr w:type="spellStart"/>
            <w:r w:rsidRPr="000F5F1D">
              <w:rPr>
                <w:sz w:val="20"/>
              </w:rPr>
              <w:t>Insuficiente</w:t>
            </w:r>
            <w:proofErr w:type="spellEnd"/>
          </w:p>
        </w:tc>
      </w:tr>
      <w:tr w:rsidR="00537C6F" w:rsidRPr="00660CD1" w14:paraId="4B372409" w14:textId="77777777" w:rsidTr="0006680F">
        <w:trPr>
          <w:trHeight w:val="244"/>
        </w:trPr>
        <w:tc>
          <w:tcPr>
            <w:tcW w:w="2372" w:type="dxa"/>
            <w:vAlign w:val="center"/>
          </w:tcPr>
          <w:p w14:paraId="291E2D78" w14:textId="77777777" w:rsidR="00537C6F" w:rsidRPr="00660CD1" w:rsidRDefault="00537C6F" w:rsidP="0006680F">
            <w:pPr>
              <w:pStyle w:val="tabletext"/>
              <w:rPr>
                <w:sz w:val="20"/>
              </w:rPr>
            </w:pPr>
            <w:proofErr w:type="spellStart"/>
            <w:r w:rsidRPr="00123100">
              <w:rPr>
                <w:sz w:val="20"/>
              </w:rPr>
              <w:t>Disponibilidad</w:t>
            </w:r>
            <w:proofErr w:type="spellEnd"/>
            <w:r w:rsidRPr="00123100">
              <w:rPr>
                <w:sz w:val="20"/>
              </w:rPr>
              <w:t xml:space="preserve"> de </w:t>
            </w:r>
            <w:proofErr w:type="spellStart"/>
            <w:r w:rsidRPr="00123100">
              <w:rPr>
                <w:sz w:val="20"/>
              </w:rPr>
              <w:t>internistas</w:t>
            </w:r>
            <w:proofErr w:type="spellEnd"/>
          </w:p>
        </w:tc>
        <w:tc>
          <w:tcPr>
            <w:tcW w:w="3724" w:type="dxa"/>
            <w:vAlign w:val="center"/>
          </w:tcPr>
          <w:p w14:paraId="05C31184" w14:textId="77777777" w:rsidR="00537C6F" w:rsidRPr="00D74C4C" w:rsidRDefault="00537C6F" w:rsidP="0006680F">
            <w:pPr>
              <w:pStyle w:val="tabletext"/>
              <w:jc w:val="both"/>
              <w:rPr>
                <w:sz w:val="20"/>
                <w:lang w:val="es-ES"/>
              </w:rPr>
            </w:pPr>
            <w:r w:rsidRPr="00D74C4C">
              <w:rPr>
                <w:sz w:val="20"/>
                <w:lang w:val="es-ES"/>
              </w:rPr>
              <w:t>1 especialista en medicina interna por cada 1000 habitantes</w:t>
            </w:r>
          </w:p>
        </w:tc>
        <w:tc>
          <w:tcPr>
            <w:tcW w:w="1189" w:type="dxa"/>
            <w:vAlign w:val="center"/>
          </w:tcPr>
          <w:p w14:paraId="27839BEB" w14:textId="77777777" w:rsidR="00537C6F" w:rsidRPr="00660CD1" w:rsidRDefault="00537C6F" w:rsidP="0006680F">
            <w:pPr>
              <w:pStyle w:val="tabletext"/>
              <w:jc w:val="center"/>
              <w:rPr>
                <w:sz w:val="20"/>
              </w:rPr>
            </w:pPr>
            <w:r w:rsidRPr="00123100">
              <w:rPr>
                <w:sz w:val="20"/>
              </w:rPr>
              <w:t>0,4%</w:t>
            </w:r>
          </w:p>
        </w:tc>
        <w:tc>
          <w:tcPr>
            <w:tcW w:w="3176" w:type="dxa"/>
          </w:tcPr>
          <w:p w14:paraId="7F014B3A" w14:textId="77777777" w:rsidR="00537C6F" w:rsidRDefault="00537C6F" w:rsidP="0006680F">
            <w:pPr>
              <w:pStyle w:val="tabletext"/>
              <w:jc w:val="both"/>
              <w:rPr>
                <w:sz w:val="20"/>
              </w:rPr>
            </w:pPr>
          </w:p>
          <w:p w14:paraId="6FAFED7F" w14:textId="77777777" w:rsidR="00537C6F" w:rsidRPr="00660CD1" w:rsidRDefault="00537C6F" w:rsidP="0006680F">
            <w:pPr>
              <w:pStyle w:val="tabletext"/>
              <w:jc w:val="center"/>
              <w:rPr>
                <w:sz w:val="20"/>
              </w:rPr>
            </w:pPr>
            <w:proofErr w:type="spellStart"/>
            <w:r w:rsidRPr="000F5F1D">
              <w:rPr>
                <w:sz w:val="20"/>
              </w:rPr>
              <w:t>Insuficiente</w:t>
            </w:r>
            <w:proofErr w:type="spellEnd"/>
          </w:p>
        </w:tc>
      </w:tr>
      <w:tr w:rsidR="00537C6F" w:rsidRPr="00660CD1" w14:paraId="0CD04236" w14:textId="77777777" w:rsidTr="0006680F">
        <w:trPr>
          <w:trHeight w:val="244"/>
        </w:trPr>
        <w:tc>
          <w:tcPr>
            <w:tcW w:w="2372" w:type="dxa"/>
            <w:vAlign w:val="center"/>
          </w:tcPr>
          <w:p w14:paraId="1D6E53B3" w14:textId="77777777" w:rsidR="00537C6F" w:rsidRPr="00D74C4C" w:rsidRDefault="00537C6F" w:rsidP="0006680F">
            <w:pPr>
              <w:pStyle w:val="tabletext"/>
              <w:jc w:val="both"/>
              <w:rPr>
                <w:sz w:val="20"/>
                <w:lang w:val="es-ES"/>
              </w:rPr>
            </w:pPr>
            <w:r w:rsidRPr="00D74C4C">
              <w:rPr>
                <w:sz w:val="20"/>
                <w:lang w:val="es-ES"/>
              </w:rPr>
              <w:t xml:space="preserve">Cobertura de técnico (laboratorio clínico, microbiológico, rehabilitación y </w:t>
            </w:r>
            <w:proofErr w:type="spellStart"/>
            <w:r w:rsidRPr="00D74C4C">
              <w:rPr>
                <w:sz w:val="20"/>
                <w:lang w:val="es-ES"/>
              </w:rPr>
              <w:t>Rx</w:t>
            </w:r>
            <w:proofErr w:type="spellEnd"/>
            <w:r w:rsidRPr="00D74C4C">
              <w:rPr>
                <w:sz w:val="20"/>
                <w:lang w:val="es-ES"/>
              </w:rPr>
              <w:t>)</w:t>
            </w:r>
          </w:p>
        </w:tc>
        <w:tc>
          <w:tcPr>
            <w:tcW w:w="3724" w:type="dxa"/>
            <w:vAlign w:val="center"/>
          </w:tcPr>
          <w:p w14:paraId="2C8DB91E" w14:textId="77777777" w:rsidR="00537C6F" w:rsidRPr="00D74C4C" w:rsidRDefault="00537C6F" w:rsidP="0006680F">
            <w:pPr>
              <w:pStyle w:val="tabletext"/>
              <w:jc w:val="both"/>
              <w:rPr>
                <w:sz w:val="20"/>
                <w:lang w:val="es-ES"/>
              </w:rPr>
            </w:pPr>
            <w:r w:rsidRPr="00D74C4C">
              <w:rPr>
                <w:sz w:val="20"/>
                <w:lang w:val="es-ES"/>
              </w:rPr>
              <w:t xml:space="preserve">1 técnico de laboratorio clínico, microbiológico, rehabilitación y </w:t>
            </w:r>
            <w:proofErr w:type="spellStart"/>
            <w:r w:rsidRPr="00D74C4C">
              <w:rPr>
                <w:sz w:val="20"/>
                <w:lang w:val="es-ES"/>
              </w:rPr>
              <w:t>Rx</w:t>
            </w:r>
            <w:proofErr w:type="spellEnd"/>
            <w:r w:rsidRPr="00D74C4C">
              <w:rPr>
                <w:sz w:val="20"/>
                <w:lang w:val="es-ES"/>
              </w:rPr>
              <w:t xml:space="preserve"> por cada 1000 habitantes</w:t>
            </w:r>
          </w:p>
        </w:tc>
        <w:tc>
          <w:tcPr>
            <w:tcW w:w="1189" w:type="dxa"/>
            <w:vAlign w:val="center"/>
          </w:tcPr>
          <w:p w14:paraId="54038B7D" w14:textId="77777777" w:rsidR="00537C6F" w:rsidRPr="00660CD1" w:rsidRDefault="00537C6F" w:rsidP="0006680F">
            <w:pPr>
              <w:pStyle w:val="tabletext"/>
              <w:jc w:val="center"/>
              <w:rPr>
                <w:sz w:val="20"/>
              </w:rPr>
            </w:pPr>
            <w:r>
              <w:rPr>
                <w:sz w:val="20"/>
              </w:rPr>
              <w:t>0,7%</w:t>
            </w:r>
          </w:p>
        </w:tc>
        <w:tc>
          <w:tcPr>
            <w:tcW w:w="3176" w:type="dxa"/>
          </w:tcPr>
          <w:p w14:paraId="270B2137" w14:textId="77777777" w:rsidR="00537C6F" w:rsidRDefault="00537C6F" w:rsidP="0006680F">
            <w:pPr>
              <w:pStyle w:val="tabletext"/>
              <w:jc w:val="both"/>
              <w:rPr>
                <w:sz w:val="20"/>
              </w:rPr>
            </w:pPr>
          </w:p>
          <w:p w14:paraId="7105F68C" w14:textId="77777777" w:rsidR="00537C6F" w:rsidRPr="00660CD1" w:rsidRDefault="00537C6F" w:rsidP="0006680F">
            <w:pPr>
              <w:pStyle w:val="tabletext"/>
              <w:jc w:val="center"/>
              <w:rPr>
                <w:sz w:val="20"/>
              </w:rPr>
            </w:pPr>
            <w:proofErr w:type="spellStart"/>
            <w:r w:rsidRPr="000F5F1D">
              <w:rPr>
                <w:sz w:val="20"/>
              </w:rPr>
              <w:t>Insuficiente</w:t>
            </w:r>
            <w:proofErr w:type="spellEnd"/>
          </w:p>
        </w:tc>
      </w:tr>
      <w:tr w:rsidR="00537C6F" w:rsidRPr="00660CD1" w14:paraId="1FF22118" w14:textId="77777777" w:rsidTr="0006680F">
        <w:trPr>
          <w:trHeight w:val="244"/>
        </w:trPr>
        <w:tc>
          <w:tcPr>
            <w:tcW w:w="2372" w:type="dxa"/>
            <w:vAlign w:val="center"/>
          </w:tcPr>
          <w:p w14:paraId="2C88D415" w14:textId="77777777" w:rsidR="00537C6F" w:rsidRPr="00123100" w:rsidRDefault="00537C6F" w:rsidP="0006680F">
            <w:pPr>
              <w:pStyle w:val="tabletext"/>
              <w:jc w:val="both"/>
              <w:rPr>
                <w:sz w:val="20"/>
              </w:rPr>
            </w:pPr>
          </w:p>
        </w:tc>
        <w:tc>
          <w:tcPr>
            <w:tcW w:w="3724" w:type="dxa"/>
            <w:vAlign w:val="center"/>
          </w:tcPr>
          <w:p w14:paraId="183CE187" w14:textId="77777777" w:rsidR="00537C6F" w:rsidRPr="00123100" w:rsidRDefault="00537C6F" w:rsidP="0006680F">
            <w:pPr>
              <w:pStyle w:val="tabletext"/>
              <w:jc w:val="both"/>
              <w:rPr>
                <w:sz w:val="20"/>
              </w:rPr>
            </w:pPr>
          </w:p>
        </w:tc>
        <w:tc>
          <w:tcPr>
            <w:tcW w:w="1189" w:type="dxa"/>
            <w:vAlign w:val="center"/>
          </w:tcPr>
          <w:p w14:paraId="72A4BED9" w14:textId="77777777" w:rsidR="00537C6F" w:rsidRDefault="00537C6F" w:rsidP="0006680F">
            <w:pPr>
              <w:pStyle w:val="tabletext"/>
              <w:jc w:val="center"/>
              <w:rPr>
                <w:sz w:val="20"/>
              </w:rPr>
            </w:pPr>
          </w:p>
        </w:tc>
        <w:tc>
          <w:tcPr>
            <w:tcW w:w="3176" w:type="dxa"/>
          </w:tcPr>
          <w:p w14:paraId="353A7DA0" w14:textId="77777777" w:rsidR="00537C6F" w:rsidRDefault="00537C6F" w:rsidP="0006680F">
            <w:pPr>
              <w:pStyle w:val="tabletext"/>
              <w:jc w:val="both"/>
              <w:rPr>
                <w:sz w:val="20"/>
              </w:rPr>
            </w:pPr>
          </w:p>
        </w:tc>
      </w:tr>
      <w:tr w:rsidR="00537C6F" w:rsidRPr="00660CD1" w14:paraId="52FFE67B" w14:textId="77777777" w:rsidTr="0006680F">
        <w:trPr>
          <w:trHeight w:val="244"/>
        </w:trPr>
        <w:tc>
          <w:tcPr>
            <w:tcW w:w="10461" w:type="dxa"/>
            <w:gridSpan w:val="4"/>
            <w:vAlign w:val="center"/>
          </w:tcPr>
          <w:p w14:paraId="26EC5183" w14:textId="77777777" w:rsidR="00537C6F" w:rsidRDefault="00537C6F" w:rsidP="0006680F">
            <w:pPr>
              <w:pStyle w:val="tabletext"/>
              <w:jc w:val="center"/>
              <w:rPr>
                <w:sz w:val="20"/>
              </w:rPr>
            </w:pPr>
            <w:proofErr w:type="spellStart"/>
            <w:r>
              <w:rPr>
                <w:sz w:val="20"/>
              </w:rPr>
              <w:t>Dimensión</w:t>
            </w:r>
            <w:proofErr w:type="spellEnd"/>
            <w:r>
              <w:rPr>
                <w:sz w:val="20"/>
              </w:rPr>
              <w:t xml:space="preserve"> </w:t>
            </w:r>
            <w:proofErr w:type="spellStart"/>
            <w:r>
              <w:rPr>
                <w:sz w:val="20"/>
              </w:rPr>
              <w:t>proceso</w:t>
            </w:r>
            <w:proofErr w:type="spellEnd"/>
          </w:p>
        </w:tc>
      </w:tr>
      <w:tr w:rsidR="00537C6F" w:rsidRPr="00660CD1" w14:paraId="4C468015" w14:textId="77777777" w:rsidTr="0006680F">
        <w:trPr>
          <w:trHeight w:val="244"/>
        </w:trPr>
        <w:tc>
          <w:tcPr>
            <w:tcW w:w="10461" w:type="dxa"/>
            <w:gridSpan w:val="4"/>
            <w:vAlign w:val="center"/>
          </w:tcPr>
          <w:p w14:paraId="3E39D8FF" w14:textId="77777777" w:rsidR="00537C6F" w:rsidRDefault="00537C6F" w:rsidP="0006680F">
            <w:pPr>
              <w:pStyle w:val="tabletext"/>
              <w:jc w:val="center"/>
              <w:rPr>
                <w:sz w:val="20"/>
              </w:rPr>
            </w:pPr>
          </w:p>
        </w:tc>
      </w:tr>
      <w:tr w:rsidR="00537C6F" w:rsidRPr="00660CD1" w14:paraId="5710A06D" w14:textId="77777777" w:rsidTr="0006680F">
        <w:trPr>
          <w:trHeight w:val="244"/>
        </w:trPr>
        <w:tc>
          <w:tcPr>
            <w:tcW w:w="2372" w:type="dxa"/>
            <w:vAlign w:val="center"/>
          </w:tcPr>
          <w:p w14:paraId="47AC907A" w14:textId="77777777" w:rsidR="00537C6F" w:rsidRPr="00D74C4C" w:rsidRDefault="00537C6F" w:rsidP="0006680F">
            <w:pPr>
              <w:pStyle w:val="tabletext"/>
              <w:jc w:val="both"/>
              <w:rPr>
                <w:sz w:val="20"/>
                <w:lang w:val="es-ES"/>
              </w:rPr>
            </w:pPr>
            <w:r w:rsidRPr="00D74C4C">
              <w:rPr>
                <w:sz w:val="20"/>
                <w:lang w:val="es-ES"/>
              </w:rPr>
              <w:t xml:space="preserve">Consulta externa en la APS por habitantes  </w:t>
            </w:r>
          </w:p>
        </w:tc>
        <w:tc>
          <w:tcPr>
            <w:tcW w:w="3724" w:type="dxa"/>
            <w:vAlign w:val="center"/>
          </w:tcPr>
          <w:p w14:paraId="422F72E9" w14:textId="77777777" w:rsidR="00537C6F" w:rsidRPr="00D74C4C" w:rsidRDefault="00537C6F" w:rsidP="0006680F">
            <w:pPr>
              <w:pStyle w:val="tabletext"/>
              <w:jc w:val="both"/>
              <w:rPr>
                <w:sz w:val="20"/>
                <w:lang w:val="es-ES"/>
              </w:rPr>
            </w:pPr>
            <w:r w:rsidRPr="00D74C4C">
              <w:rPr>
                <w:rFonts w:hint="eastAsia"/>
                <w:sz w:val="20"/>
                <w:lang w:val="es-ES"/>
              </w:rPr>
              <w:t>≥</w:t>
            </w:r>
            <w:r w:rsidRPr="00D74C4C">
              <w:rPr>
                <w:rFonts w:hint="eastAsia"/>
                <w:sz w:val="20"/>
                <w:lang w:val="es-ES"/>
              </w:rPr>
              <w:t xml:space="preserve"> 25% de consulta a los habitantes</w:t>
            </w:r>
          </w:p>
        </w:tc>
        <w:tc>
          <w:tcPr>
            <w:tcW w:w="1189" w:type="dxa"/>
            <w:vAlign w:val="center"/>
          </w:tcPr>
          <w:p w14:paraId="31581F46" w14:textId="77777777" w:rsidR="00537C6F" w:rsidRDefault="00537C6F" w:rsidP="0006680F">
            <w:pPr>
              <w:pStyle w:val="tabletext"/>
              <w:jc w:val="center"/>
              <w:rPr>
                <w:sz w:val="20"/>
              </w:rPr>
            </w:pPr>
            <w:r w:rsidRPr="00123100">
              <w:rPr>
                <w:sz w:val="20"/>
              </w:rPr>
              <w:t>28,6 %</w:t>
            </w:r>
          </w:p>
        </w:tc>
        <w:tc>
          <w:tcPr>
            <w:tcW w:w="3176" w:type="dxa"/>
          </w:tcPr>
          <w:p w14:paraId="1CB496F9" w14:textId="77777777" w:rsidR="00537C6F" w:rsidRDefault="00537C6F" w:rsidP="0006680F">
            <w:pPr>
              <w:pStyle w:val="tabletext"/>
              <w:jc w:val="center"/>
              <w:rPr>
                <w:sz w:val="20"/>
              </w:rPr>
            </w:pPr>
            <w:proofErr w:type="spellStart"/>
            <w:r>
              <w:rPr>
                <w:sz w:val="20"/>
              </w:rPr>
              <w:t>Adecuado</w:t>
            </w:r>
            <w:proofErr w:type="spellEnd"/>
          </w:p>
        </w:tc>
      </w:tr>
      <w:tr w:rsidR="00537C6F" w:rsidRPr="00660CD1" w14:paraId="4FFB5E07" w14:textId="77777777" w:rsidTr="0006680F">
        <w:trPr>
          <w:trHeight w:val="244"/>
        </w:trPr>
        <w:tc>
          <w:tcPr>
            <w:tcW w:w="10461" w:type="dxa"/>
            <w:gridSpan w:val="4"/>
            <w:vAlign w:val="center"/>
          </w:tcPr>
          <w:p w14:paraId="33E76ADD" w14:textId="77777777" w:rsidR="00537C6F" w:rsidRPr="001451D4" w:rsidRDefault="00537C6F" w:rsidP="0006680F">
            <w:pPr>
              <w:pStyle w:val="tabletext"/>
              <w:jc w:val="center"/>
              <w:rPr>
                <w:sz w:val="20"/>
              </w:rPr>
            </w:pPr>
          </w:p>
        </w:tc>
      </w:tr>
      <w:tr w:rsidR="00537C6F" w:rsidRPr="00660CD1" w14:paraId="002BF301" w14:textId="77777777" w:rsidTr="0006680F">
        <w:trPr>
          <w:trHeight w:val="244"/>
        </w:trPr>
        <w:tc>
          <w:tcPr>
            <w:tcW w:w="10461" w:type="dxa"/>
            <w:gridSpan w:val="4"/>
            <w:vAlign w:val="center"/>
          </w:tcPr>
          <w:p w14:paraId="7952FFCA" w14:textId="77777777" w:rsidR="00537C6F" w:rsidRDefault="00537C6F" w:rsidP="0006680F">
            <w:pPr>
              <w:pStyle w:val="tabletext"/>
              <w:jc w:val="center"/>
              <w:rPr>
                <w:sz w:val="20"/>
              </w:rPr>
            </w:pPr>
            <w:proofErr w:type="spellStart"/>
            <w:r w:rsidRPr="001451D4">
              <w:rPr>
                <w:sz w:val="20"/>
              </w:rPr>
              <w:t>Dimensión</w:t>
            </w:r>
            <w:proofErr w:type="spellEnd"/>
            <w:r w:rsidRPr="001451D4">
              <w:rPr>
                <w:sz w:val="20"/>
              </w:rPr>
              <w:t xml:space="preserve"> </w:t>
            </w:r>
            <w:proofErr w:type="spellStart"/>
            <w:r w:rsidRPr="001451D4">
              <w:rPr>
                <w:sz w:val="20"/>
              </w:rPr>
              <w:t>resultado</w:t>
            </w:r>
            <w:proofErr w:type="spellEnd"/>
          </w:p>
        </w:tc>
      </w:tr>
      <w:tr w:rsidR="00537C6F" w:rsidRPr="00660CD1" w14:paraId="39302731" w14:textId="77777777" w:rsidTr="0006680F">
        <w:trPr>
          <w:trHeight w:val="244"/>
        </w:trPr>
        <w:tc>
          <w:tcPr>
            <w:tcW w:w="10461" w:type="dxa"/>
            <w:gridSpan w:val="4"/>
            <w:vAlign w:val="center"/>
          </w:tcPr>
          <w:p w14:paraId="31162257" w14:textId="77777777" w:rsidR="00537C6F" w:rsidRPr="001451D4" w:rsidRDefault="00537C6F" w:rsidP="0006680F">
            <w:pPr>
              <w:pStyle w:val="tabletext"/>
              <w:jc w:val="center"/>
              <w:rPr>
                <w:sz w:val="20"/>
              </w:rPr>
            </w:pPr>
          </w:p>
        </w:tc>
      </w:tr>
      <w:tr w:rsidR="00537C6F" w:rsidRPr="00660CD1" w14:paraId="6BA1570C" w14:textId="77777777" w:rsidTr="0006680F">
        <w:trPr>
          <w:trHeight w:val="244"/>
        </w:trPr>
        <w:tc>
          <w:tcPr>
            <w:tcW w:w="2372" w:type="dxa"/>
            <w:vAlign w:val="center"/>
          </w:tcPr>
          <w:p w14:paraId="075C64E3" w14:textId="77777777" w:rsidR="00537C6F" w:rsidRDefault="00537C6F" w:rsidP="0006680F">
            <w:pPr>
              <w:pStyle w:val="tabletext"/>
              <w:jc w:val="both"/>
              <w:rPr>
                <w:sz w:val="20"/>
              </w:rPr>
            </w:pPr>
            <w:proofErr w:type="spellStart"/>
            <w:r w:rsidRPr="00123100">
              <w:rPr>
                <w:sz w:val="20"/>
              </w:rPr>
              <w:t>Mortalidad</w:t>
            </w:r>
            <w:proofErr w:type="spellEnd"/>
            <w:r w:rsidRPr="00123100">
              <w:rPr>
                <w:sz w:val="20"/>
              </w:rPr>
              <w:t xml:space="preserve"> general </w:t>
            </w:r>
            <w:proofErr w:type="spellStart"/>
            <w:r w:rsidRPr="00123100">
              <w:rPr>
                <w:sz w:val="20"/>
              </w:rPr>
              <w:t>por</w:t>
            </w:r>
            <w:proofErr w:type="spellEnd"/>
            <w:r w:rsidRPr="00123100">
              <w:rPr>
                <w:sz w:val="20"/>
              </w:rPr>
              <w:t xml:space="preserve"> ECV</w:t>
            </w:r>
          </w:p>
        </w:tc>
        <w:tc>
          <w:tcPr>
            <w:tcW w:w="3724" w:type="dxa"/>
            <w:vAlign w:val="center"/>
          </w:tcPr>
          <w:p w14:paraId="7E970305" w14:textId="77777777" w:rsidR="00537C6F" w:rsidRPr="00D74C4C" w:rsidRDefault="00537C6F" w:rsidP="0006680F">
            <w:pPr>
              <w:pStyle w:val="tabletext"/>
              <w:jc w:val="both"/>
              <w:rPr>
                <w:sz w:val="20"/>
                <w:lang w:val="es-ES"/>
              </w:rPr>
            </w:pPr>
            <w:r w:rsidRPr="00D74C4C">
              <w:rPr>
                <w:sz w:val="20"/>
                <w:lang w:val="es-ES"/>
              </w:rPr>
              <w:t>1 fallecido por ECV por cada 100 fallecidos</w:t>
            </w:r>
          </w:p>
        </w:tc>
        <w:tc>
          <w:tcPr>
            <w:tcW w:w="1189" w:type="dxa"/>
            <w:vAlign w:val="center"/>
          </w:tcPr>
          <w:p w14:paraId="025BDD9E" w14:textId="77777777" w:rsidR="00537C6F" w:rsidRPr="00686401" w:rsidRDefault="00537C6F" w:rsidP="0006680F">
            <w:pPr>
              <w:pStyle w:val="tabletext"/>
              <w:jc w:val="center"/>
              <w:rPr>
                <w:sz w:val="20"/>
              </w:rPr>
            </w:pPr>
            <w:r w:rsidRPr="00686401">
              <w:rPr>
                <w:rFonts w:eastAsia="Arial"/>
                <w:sz w:val="20"/>
                <w:szCs w:val="24"/>
              </w:rPr>
              <w:t>9,4%</w:t>
            </w:r>
          </w:p>
        </w:tc>
        <w:tc>
          <w:tcPr>
            <w:tcW w:w="3176" w:type="dxa"/>
          </w:tcPr>
          <w:p w14:paraId="1951A12F" w14:textId="77777777" w:rsidR="00537C6F" w:rsidRDefault="00537C6F" w:rsidP="0006680F">
            <w:pPr>
              <w:pStyle w:val="tabletext"/>
              <w:jc w:val="center"/>
              <w:rPr>
                <w:sz w:val="20"/>
              </w:rPr>
            </w:pPr>
            <w:r>
              <w:rPr>
                <w:sz w:val="20"/>
              </w:rPr>
              <w:t xml:space="preserve">No </w:t>
            </w:r>
            <w:proofErr w:type="spellStart"/>
            <w:r>
              <w:rPr>
                <w:sz w:val="20"/>
              </w:rPr>
              <w:t>aceptable</w:t>
            </w:r>
            <w:proofErr w:type="spellEnd"/>
          </w:p>
        </w:tc>
      </w:tr>
      <w:tr w:rsidR="00537C6F" w:rsidRPr="00660CD1" w14:paraId="6DADD37C" w14:textId="77777777" w:rsidTr="0006680F">
        <w:trPr>
          <w:trHeight w:val="244"/>
        </w:trPr>
        <w:tc>
          <w:tcPr>
            <w:tcW w:w="2372" w:type="dxa"/>
            <w:vAlign w:val="center"/>
          </w:tcPr>
          <w:p w14:paraId="27956970" w14:textId="77777777" w:rsidR="00537C6F" w:rsidRDefault="00537C6F" w:rsidP="0006680F">
            <w:pPr>
              <w:pStyle w:val="tabletext"/>
              <w:jc w:val="both"/>
              <w:rPr>
                <w:sz w:val="20"/>
              </w:rPr>
            </w:pPr>
            <w:proofErr w:type="spellStart"/>
            <w:r w:rsidRPr="00123100">
              <w:rPr>
                <w:sz w:val="20"/>
              </w:rPr>
              <w:t>Mortalidad</w:t>
            </w:r>
            <w:proofErr w:type="spellEnd"/>
            <w:r w:rsidRPr="00123100">
              <w:rPr>
                <w:sz w:val="20"/>
              </w:rPr>
              <w:t xml:space="preserve"> </w:t>
            </w:r>
            <w:proofErr w:type="spellStart"/>
            <w:r w:rsidRPr="00123100">
              <w:rPr>
                <w:sz w:val="20"/>
              </w:rPr>
              <w:t>prematura</w:t>
            </w:r>
            <w:proofErr w:type="spellEnd"/>
            <w:r w:rsidRPr="00123100">
              <w:rPr>
                <w:sz w:val="20"/>
              </w:rPr>
              <w:t xml:space="preserve"> </w:t>
            </w:r>
            <w:proofErr w:type="spellStart"/>
            <w:r w:rsidRPr="00123100">
              <w:rPr>
                <w:sz w:val="20"/>
              </w:rPr>
              <w:t>por</w:t>
            </w:r>
            <w:proofErr w:type="spellEnd"/>
            <w:r w:rsidRPr="00123100">
              <w:rPr>
                <w:sz w:val="20"/>
              </w:rPr>
              <w:t xml:space="preserve"> ECV</w:t>
            </w:r>
          </w:p>
        </w:tc>
        <w:tc>
          <w:tcPr>
            <w:tcW w:w="3724" w:type="dxa"/>
            <w:vAlign w:val="center"/>
          </w:tcPr>
          <w:p w14:paraId="29FAADC1" w14:textId="77777777" w:rsidR="00537C6F" w:rsidRPr="00D74C4C" w:rsidRDefault="00537C6F" w:rsidP="0006680F">
            <w:pPr>
              <w:pStyle w:val="tabletext"/>
              <w:jc w:val="both"/>
              <w:rPr>
                <w:sz w:val="20"/>
                <w:lang w:val="es-ES"/>
              </w:rPr>
            </w:pPr>
            <w:r w:rsidRPr="00D74C4C">
              <w:rPr>
                <w:rFonts w:hint="eastAsia"/>
                <w:sz w:val="20"/>
                <w:lang w:val="es-ES"/>
              </w:rPr>
              <w:t>≥</w:t>
            </w:r>
            <w:r w:rsidRPr="00D74C4C">
              <w:rPr>
                <w:rFonts w:hint="eastAsia"/>
                <w:sz w:val="20"/>
                <w:lang w:val="es-ES"/>
              </w:rPr>
              <w:t xml:space="preserve"> 25% de los fallecidos son menores de 74 años</w:t>
            </w:r>
          </w:p>
        </w:tc>
        <w:tc>
          <w:tcPr>
            <w:tcW w:w="1189" w:type="dxa"/>
            <w:vAlign w:val="center"/>
          </w:tcPr>
          <w:p w14:paraId="10E88435" w14:textId="77777777" w:rsidR="00537C6F" w:rsidRPr="00686401" w:rsidRDefault="00537C6F" w:rsidP="0006680F">
            <w:pPr>
              <w:pStyle w:val="tabletext"/>
              <w:jc w:val="center"/>
              <w:rPr>
                <w:sz w:val="20"/>
              </w:rPr>
            </w:pPr>
            <w:r w:rsidRPr="00686401">
              <w:rPr>
                <w:rFonts w:eastAsia="Arial"/>
                <w:sz w:val="20"/>
                <w:szCs w:val="24"/>
              </w:rPr>
              <w:t>36,9%</w:t>
            </w:r>
          </w:p>
        </w:tc>
        <w:tc>
          <w:tcPr>
            <w:tcW w:w="3176" w:type="dxa"/>
          </w:tcPr>
          <w:p w14:paraId="4324967B" w14:textId="77777777" w:rsidR="00537C6F" w:rsidRDefault="00537C6F" w:rsidP="0006680F">
            <w:pPr>
              <w:pStyle w:val="tabletext"/>
              <w:jc w:val="center"/>
              <w:rPr>
                <w:sz w:val="20"/>
              </w:rPr>
            </w:pPr>
            <w:r>
              <w:rPr>
                <w:sz w:val="20"/>
              </w:rPr>
              <w:t xml:space="preserve">No </w:t>
            </w:r>
            <w:proofErr w:type="spellStart"/>
            <w:r>
              <w:rPr>
                <w:sz w:val="20"/>
              </w:rPr>
              <w:t>aceptable</w:t>
            </w:r>
            <w:proofErr w:type="spellEnd"/>
          </w:p>
        </w:tc>
      </w:tr>
      <w:tr w:rsidR="00537C6F" w:rsidRPr="00660CD1" w14:paraId="053F34BE" w14:textId="77777777" w:rsidTr="0006680F">
        <w:trPr>
          <w:trHeight w:val="244"/>
        </w:trPr>
        <w:tc>
          <w:tcPr>
            <w:tcW w:w="2372" w:type="dxa"/>
            <w:vAlign w:val="center"/>
          </w:tcPr>
          <w:p w14:paraId="40971DFA" w14:textId="77777777" w:rsidR="00537C6F" w:rsidRPr="00D74C4C" w:rsidRDefault="00537C6F" w:rsidP="0006680F">
            <w:pPr>
              <w:pStyle w:val="tabletext"/>
              <w:jc w:val="both"/>
              <w:rPr>
                <w:sz w:val="20"/>
                <w:lang w:val="es-ES"/>
              </w:rPr>
            </w:pPr>
            <w:r w:rsidRPr="00D74C4C">
              <w:rPr>
                <w:sz w:val="20"/>
                <w:lang w:val="es-ES"/>
              </w:rPr>
              <w:t>Mortalidad por tipo de ECV (Oclusiva, hemorrágica, otras formas, secuelas)</w:t>
            </w:r>
          </w:p>
        </w:tc>
        <w:tc>
          <w:tcPr>
            <w:tcW w:w="3724" w:type="dxa"/>
            <w:vAlign w:val="center"/>
          </w:tcPr>
          <w:p w14:paraId="0065E940" w14:textId="1C133AF7" w:rsidR="00537C6F" w:rsidRPr="00D74C4C" w:rsidRDefault="00537C6F" w:rsidP="0006680F">
            <w:pPr>
              <w:pStyle w:val="tabletext"/>
              <w:jc w:val="both"/>
              <w:rPr>
                <w:sz w:val="20"/>
                <w:lang w:val="es-ES"/>
              </w:rPr>
            </w:pPr>
            <w:r w:rsidRPr="00D74C4C">
              <w:rPr>
                <w:rFonts w:hint="eastAsia"/>
                <w:sz w:val="20"/>
                <w:lang w:val="es-ES"/>
              </w:rPr>
              <w:t>≥</w:t>
            </w:r>
            <w:r>
              <w:rPr>
                <w:sz w:val="20"/>
                <w:lang w:val="es-ES"/>
              </w:rPr>
              <w:t xml:space="preserve"> </w:t>
            </w:r>
            <w:r w:rsidRPr="00D74C4C">
              <w:rPr>
                <w:rFonts w:hint="eastAsia"/>
                <w:sz w:val="20"/>
                <w:lang w:val="es-ES"/>
              </w:rPr>
              <w:t>25% de los fallecidos para cada uno de los tipos de ECV</w:t>
            </w:r>
          </w:p>
        </w:tc>
        <w:tc>
          <w:tcPr>
            <w:tcW w:w="1189" w:type="dxa"/>
            <w:vAlign w:val="center"/>
          </w:tcPr>
          <w:p w14:paraId="60B1DF2A" w14:textId="77777777" w:rsidR="00537C6F" w:rsidRPr="00D74C4C" w:rsidRDefault="00537C6F" w:rsidP="0006680F">
            <w:pPr>
              <w:pStyle w:val="tabletext"/>
              <w:jc w:val="center"/>
              <w:rPr>
                <w:sz w:val="20"/>
                <w:lang w:val="es-ES"/>
              </w:rPr>
            </w:pPr>
            <w:r w:rsidRPr="00D74C4C">
              <w:rPr>
                <w:sz w:val="20"/>
                <w:lang w:val="es-ES"/>
              </w:rPr>
              <w:t>-</w:t>
            </w:r>
            <w:r w:rsidRPr="00D74C4C">
              <w:rPr>
                <w:sz w:val="20"/>
                <w:lang w:val="es-ES"/>
              </w:rPr>
              <w:tab/>
              <w:t>Oclusiva (37,4%)</w:t>
            </w:r>
          </w:p>
          <w:p w14:paraId="22CB40D4" w14:textId="77777777" w:rsidR="00537C6F" w:rsidRPr="00D74C4C" w:rsidRDefault="00537C6F" w:rsidP="0006680F">
            <w:pPr>
              <w:pStyle w:val="tabletext"/>
              <w:jc w:val="center"/>
              <w:rPr>
                <w:sz w:val="20"/>
                <w:lang w:val="es-ES"/>
              </w:rPr>
            </w:pPr>
            <w:r w:rsidRPr="00D74C4C">
              <w:rPr>
                <w:sz w:val="20"/>
                <w:lang w:val="es-ES"/>
              </w:rPr>
              <w:t>-Hemorrágica (24,7%)</w:t>
            </w:r>
          </w:p>
          <w:p w14:paraId="6A82BC76" w14:textId="77777777" w:rsidR="00537C6F" w:rsidRPr="00D74C4C" w:rsidRDefault="00537C6F" w:rsidP="0006680F">
            <w:pPr>
              <w:pStyle w:val="tabletext"/>
              <w:jc w:val="center"/>
              <w:rPr>
                <w:sz w:val="20"/>
                <w:lang w:val="es-ES"/>
              </w:rPr>
            </w:pPr>
            <w:r w:rsidRPr="00D74C4C">
              <w:rPr>
                <w:sz w:val="20"/>
                <w:lang w:val="es-ES"/>
              </w:rPr>
              <w:t>-otras formas (19,9%)</w:t>
            </w:r>
          </w:p>
          <w:p w14:paraId="3484E498" w14:textId="77777777" w:rsidR="00537C6F" w:rsidRPr="00D74C4C" w:rsidRDefault="00537C6F" w:rsidP="0006680F">
            <w:pPr>
              <w:pStyle w:val="tabletext"/>
              <w:jc w:val="center"/>
              <w:rPr>
                <w:sz w:val="20"/>
                <w:lang w:val="es-ES"/>
              </w:rPr>
            </w:pPr>
            <w:r w:rsidRPr="00D74C4C">
              <w:rPr>
                <w:sz w:val="20"/>
                <w:lang w:val="es-ES"/>
              </w:rPr>
              <w:t>-Secuelas (17,9%)</w:t>
            </w:r>
          </w:p>
        </w:tc>
        <w:tc>
          <w:tcPr>
            <w:tcW w:w="3176" w:type="dxa"/>
          </w:tcPr>
          <w:p w14:paraId="69425A02" w14:textId="5AC1C255" w:rsidR="00537C6F" w:rsidRPr="00D74C4C" w:rsidRDefault="00537C6F" w:rsidP="0006680F">
            <w:pPr>
              <w:pStyle w:val="tabletext"/>
              <w:jc w:val="center"/>
              <w:rPr>
                <w:sz w:val="20"/>
                <w:lang w:val="es-ES"/>
              </w:rPr>
            </w:pPr>
            <w:r w:rsidRPr="00D74C4C">
              <w:rPr>
                <w:sz w:val="20"/>
                <w:lang w:val="es-ES"/>
              </w:rPr>
              <w:t>-</w:t>
            </w:r>
            <w:r w:rsidRPr="00D74C4C">
              <w:rPr>
                <w:sz w:val="20"/>
                <w:lang w:val="es-ES"/>
              </w:rPr>
              <w:tab/>
              <w:t xml:space="preserve">Oclusiva: </w:t>
            </w:r>
            <w:r>
              <w:rPr>
                <w:sz w:val="20"/>
                <w:lang w:val="es-ES"/>
              </w:rPr>
              <w:t>A</w:t>
            </w:r>
            <w:r w:rsidRPr="00D74C4C">
              <w:rPr>
                <w:sz w:val="20"/>
                <w:lang w:val="es-ES"/>
              </w:rPr>
              <w:t>ceptable</w:t>
            </w:r>
          </w:p>
          <w:p w14:paraId="3183E0CF" w14:textId="08625AE4" w:rsidR="00537C6F" w:rsidRPr="00D74C4C" w:rsidRDefault="00537C6F" w:rsidP="0006680F">
            <w:pPr>
              <w:pStyle w:val="tabletext"/>
              <w:jc w:val="center"/>
              <w:rPr>
                <w:sz w:val="20"/>
                <w:lang w:val="es-ES"/>
              </w:rPr>
            </w:pPr>
            <w:r w:rsidRPr="00D74C4C">
              <w:rPr>
                <w:sz w:val="20"/>
                <w:lang w:val="es-ES"/>
              </w:rPr>
              <w:t>-</w:t>
            </w:r>
            <w:r w:rsidRPr="00D74C4C">
              <w:rPr>
                <w:sz w:val="20"/>
                <w:lang w:val="es-ES"/>
              </w:rPr>
              <w:tab/>
              <w:t xml:space="preserve">Hemorrágica: </w:t>
            </w:r>
            <w:r>
              <w:rPr>
                <w:sz w:val="20"/>
                <w:lang w:val="es-ES"/>
              </w:rPr>
              <w:t>No a</w:t>
            </w:r>
            <w:r w:rsidRPr="00D74C4C">
              <w:rPr>
                <w:sz w:val="20"/>
                <w:lang w:val="es-ES"/>
              </w:rPr>
              <w:t>ceptable</w:t>
            </w:r>
          </w:p>
          <w:p w14:paraId="2B543620" w14:textId="213E9466" w:rsidR="00537C6F" w:rsidRPr="00D74C4C" w:rsidRDefault="00537C6F" w:rsidP="0006680F">
            <w:pPr>
              <w:pStyle w:val="tabletext"/>
              <w:jc w:val="center"/>
              <w:rPr>
                <w:sz w:val="20"/>
                <w:lang w:val="es-ES"/>
              </w:rPr>
            </w:pPr>
            <w:r w:rsidRPr="00D74C4C">
              <w:rPr>
                <w:sz w:val="20"/>
                <w:lang w:val="es-ES"/>
              </w:rPr>
              <w:t>-</w:t>
            </w:r>
            <w:r w:rsidRPr="00D74C4C">
              <w:rPr>
                <w:sz w:val="20"/>
                <w:lang w:val="es-ES"/>
              </w:rPr>
              <w:tab/>
              <w:t>Otras formas:</w:t>
            </w:r>
            <w:r>
              <w:rPr>
                <w:sz w:val="20"/>
                <w:lang w:val="es-ES"/>
              </w:rPr>
              <w:t xml:space="preserve"> No</w:t>
            </w:r>
            <w:r w:rsidRPr="00D74C4C">
              <w:rPr>
                <w:sz w:val="20"/>
                <w:lang w:val="es-ES"/>
              </w:rPr>
              <w:t xml:space="preserve"> </w:t>
            </w:r>
            <w:r>
              <w:rPr>
                <w:sz w:val="20"/>
                <w:lang w:val="es-ES"/>
              </w:rPr>
              <w:t>a</w:t>
            </w:r>
            <w:r w:rsidRPr="00D74C4C">
              <w:rPr>
                <w:sz w:val="20"/>
                <w:lang w:val="es-ES"/>
              </w:rPr>
              <w:t>ceptable</w:t>
            </w:r>
          </w:p>
          <w:p w14:paraId="58AD23B1" w14:textId="7E23E0AF" w:rsidR="00537C6F" w:rsidRDefault="00537C6F" w:rsidP="0006680F">
            <w:pPr>
              <w:pStyle w:val="tabletext"/>
              <w:jc w:val="center"/>
              <w:rPr>
                <w:sz w:val="20"/>
              </w:rPr>
            </w:pPr>
            <w:r w:rsidRPr="001451D4">
              <w:rPr>
                <w:sz w:val="20"/>
              </w:rPr>
              <w:t>-</w:t>
            </w:r>
            <w:r w:rsidRPr="001451D4">
              <w:rPr>
                <w:sz w:val="20"/>
              </w:rPr>
              <w:tab/>
            </w:r>
            <w:proofErr w:type="spellStart"/>
            <w:r w:rsidR="00AA3821">
              <w:rPr>
                <w:sz w:val="20"/>
              </w:rPr>
              <w:t>S</w:t>
            </w:r>
            <w:r w:rsidR="00AA3821" w:rsidRPr="001451D4">
              <w:rPr>
                <w:sz w:val="20"/>
              </w:rPr>
              <w:t>ecuela</w:t>
            </w:r>
            <w:r w:rsidR="00AA3821">
              <w:rPr>
                <w:sz w:val="20"/>
              </w:rPr>
              <w:t>s</w:t>
            </w:r>
            <w:proofErr w:type="spellEnd"/>
            <w:r w:rsidR="00AA3821">
              <w:rPr>
                <w:sz w:val="20"/>
              </w:rPr>
              <w:t>: No</w:t>
            </w:r>
            <w:r>
              <w:rPr>
                <w:sz w:val="20"/>
              </w:rPr>
              <w:t xml:space="preserve"> </w:t>
            </w:r>
            <w:proofErr w:type="spellStart"/>
            <w:r>
              <w:rPr>
                <w:sz w:val="20"/>
              </w:rPr>
              <w:t>a</w:t>
            </w:r>
            <w:r w:rsidRPr="001451D4">
              <w:rPr>
                <w:sz w:val="20"/>
              </w:rPr>
              <w:t>ceptable</w:t>
            </w:r>
            <w:proofErr w:type="spellEnd"/>
          </w:p>
        </w:tc>
      </w:tr>
    </w:tbl>
    <w:p w14:paraId="1DB9F545" w14:textId="77777777" w:rsidR="00537C6F" w:rsidRDefault="00537C6F">
      <w:pPr>
        <w:tabs>
          <w:tab w:val="clear" w:pos="340"/>
          <w:tab w:val="clear" w:pos="680"/>
        </w:tabs>
        <w:ind w:firstLine="0"/>
        <w:jc w:val="left"/>
      </w:pPr>
    </w:p>
    <w:p w14:paraId="57E39A18" w14:textId="77777777" w:rsidR="00537C6F" w:rsidRDefault="00537C6F" w:rsidP="00537C6F">
      <w:pPr>
        <w:ind w:firstLine="0"/>
        <w:jc w:val="left"/>
        <w:rPr>
          <w:lang w:val="es-ES"/>
        </w:rPr>
      </w:pPr>
      <w:r w:rsidRPr="00D74C4C">
        <w:rPr>
          <w:lang w:val="es-ES"/>
        </w:rPr>
        <w:t>Fuente: Elaboración propia a partir del anuario estadístico 2023</w:t>
      </w:r>
    </w:p>
    <w:p w14:paraId="4A8DFD47" w14:textId="77777777" w:rsidR="00537C6F" w:rsidRPr="00537C6F" w:rsidRDefault="00537C6F">
      <w:pPr>
        <w:tabs>
          <w:tab w:val="clear" w:pos="340"/>
          <w:tab w:val="clear" w:pos="680"/>
        </w:tabs>
        <w:ind w:firstLine="0"/>
        <w:jc w:val="left"/>
        <w:rPr>
          <w:lang w:val="es-ES"/>
        </w:rPr>
      </w:pPr>
    </w:p>
    <w:p w14:paraId="36D61133" w14:textId="6AE3BE51" w:rsidR="00E5772A" w:rsidRDefault="00537C6F" w:rsidP="00537C6F">
      <w:pPr>
        <w:ind w:firstLine="0"/>
        <w:jc w:val="left"/>
        <w:rPr>
          <w:rStyle w:val="AbsatzNormal"/>
          <w:sz w:val="24"/>
          <w:szCs w:val="24"/>
          <w:lang w:val="es-VE"/>
        </w:rPr>
      </w:pPr>
      <w:r>
        <w:rPr>
          <w:rStyle w:val="AbsatzNormal"/>
          <w:sz w:val="24"/>
          <w:szCs w:val="24"/>
          <w:lang w:val="es-VE"/>
        </w:rPr>
        <w:t xml:space="preserve">En la tabla 2 se aprecia </w:t>
      </w:r>
      <w:r w:rsidRPr="00633B25">
        <w:rPr>
          <w:rStyle w:val="AbsatzNormal"/>
          <w:sz w:val="24"/>
          <w:szCs w:val="24"/>
          <w:lang w:val="es-VE"/>
        </w:rPr>
        <w:t xml:space="preserve">que los indicadores de la dimensión estructura </w:t>
      </w:r>
      <w:r>
        <w:rPr>
          <w:rStyle w:val="AbsatzNormal"/>
          <w:sz w:val="24"/>
          <w:szCs w:val="24"/>
          <w:lang w:val="es-VE"/>
        </w:rPr>
        <w:t>son</w:t>
      </w:r>
      <w:r w:rsidRPr="00633B25">
        <w:rPr>
          <w:rStyle w:val="AbsatzNormal"/>
          <w:sz w:val="24"/>
          <w:szCs w:val="24"/>
          <w:lang w:val="es-VE"/>
        </w:rPr>
        <w:t xml:space="preserve"> evaluados de insuficientes, dado que ninguno cumplió con la norma esperada. En la dimensión proceso el criterio de consulta externa en la APS por habitantes, </w:t>
      </w:r>
      <w:r>
        <w:rPr>
          <w:rStyle w:val="AbsatzNormal"/>
          <w:sz w:val="24"/>
          <w:szCs w:val="24"/>
          <w:lang w:val="es-VE"/>
        </w:rPr>
        <w:t>se evaluó</w:t>
      </w:r>
      <w:r w:rsidRPr="00633B25">
        <w:rPr>
          <w:rStyle w:val="AbsatzNormal"/>
          <w:sz w:val="24"/>
          <w:szCs w:val="24"/>
          <w:lang w:val="es-VE"/>
        </w:rPr>
        <w:t xml:space="preserve"> como adecuado, resultado </w:t>
      </w:r>
      <w:r>
        <w:rPr>
          <w:rStyle w:val="AbsatzNormal"/>
          <w:sz w:val="24"/>
          <w:szCs w:val="24"/>
          <w:lang w:val="es-VE"/>
        </w:rPr>
        <w:t xml:space="preserve">de </w:t>
      </w:r>
      <w:r w:rsidRPr="00633B25">
        <w:rPr>
          <w:rStyle w:val="AbsatzNormal"/>
          <w:sz w:val="24"/>
          <w:szCs w:val="24"/>
          <w:lang w:val="es-VE"/>
        </w:rPr>
        <w:t xml:space="preserve">que se </w:t>
      </w:r>
      <w:r>
        <w:rPr>
          <w:rStyle w:val="AbsatzNormal"/>
          <w:sz w:val="24"/>
          <w:szCs w:val="24"/>
          <w:lang w:val="es-VE"/>
        </w:rPr>
        <w:t>otorga</w:t>
      </w:r>
      <w:r w:rsidRPr="00633B25">
        <w:rPr>
          <w:rStyle w:val="AbsatzNormal"/>
          <w:sz w:val="24"/>
          <w:szCs w:val="24"/>
          <w:lang w:val="es-VE"/>
        </w:rPr>
        <w:t xml:space="preserve"> 2,8 consulta como promedio por habitante. La dimensión resultado refleja que los indicadores trazados para la mortalidad por ECV es elevada, por lo que</w:t>
      </w:r>
      <w:r>
        <w:rPr>
          <w:rStyle w:val="AbsatzNormal"/>
          <w:sz w:val="24"/>
          <w:szCs w:val="24"/>
          <w:lang w:val="es-VE"/>
        </w:rPr>
        <w:t>; dos</w:t>
      </w:r>
      <w:r w:rsidRPr="00633B25">
        <w:rPr>
          <w:rStyle w:val="AbsatzNormal"/>
          <w:sz w:val="24"/>
          <w:szCs w:val="24"/>
          <w:lang w:val="es-VE"/>
        </w:rPr>
        <w:t xml:space="preserve"> de los tres criterios </w:t>
      </w:r>
      <w:r>
        <w:rPr>
          <w:rStyle w:val="AbsatzNormal"/>
          <w:sz w:val="24"/>
          <w:szCs w:val="24"/>
          <w:lang w:val="es-VE"/>
        </w:rPr>
        <w:t>se valoró</w:t>
      </w:r>
      <w:r w:rsidRPr="00633B25">
        <w:rPr>
          <w:rStyle w:val="AbsatzNormal"/>
          <w:sz w:val="24"/>
          <w:szCs w:val="24"/>
          <w:lang w:val="es-VE"/>
        </w:rPr>
        <w:t xml:space="preserve"> de no aceptable.</w:t>
      </w:r>
    </w:p>
    <w:p w14:paraId="0001FDA7" w14:textId="77777777" w:rsidR="00E5772A" w:rsidRDefault="00E5772A" w:rsidP="00537C6F">
      <w:pPr>
        <w:ind w:firstLine="0"/>
        <w:jc w:val="left"/>
        <w:rPr>
          <w:rStyle w:val="AbsatzNormal"/>
          <w:sz w:val="24"/>
          <w:szCs w:val="24"/>
          <w:lang w:val="es-VE"/>
        </w:rPr>
      </w:pPr>
    </w:p>
    <w:p w14:paraId="04D8E23D" w14:textId="77777777" w:rsidR="00537C6F" w:rsidRDefault="00537C6F" w:rsidP="00537C6F">
      <w:pPr>
        <w:ind w:firstLine="0"/>
        <w:jc w:val="left"/>
        <w:rPr>
          <w:rStyle w:val="AbsatzNormal"/>
          <w:sz w:val="24"/>
          <w:szCs w:val="24"/>
          <w:lang w:val="es-VE"/>
        </w:rPr>
      </w:pPr>
      <w:r w:rsidRPr="00633B25">
        <w:rPr>
          <w:rStyle w:val="AbsatzNormal"/>
          <w:sz w:val="24"/>
          <w:szCs w:val="24"/>
          <w:lang w:val="es-VE"/>
        </w:rPr>
        <w:t>La evaluación final del cumplimiento del programa se realizó de la siguiente forma: Se consideró:</w:t>
      </w:r>
    </w:p>
    <w:p w14:paraId="5E4A2963" w14:textId="77CCBF6E" w:rsidR="00537C6F" w:rsidRPr="00537C6F" w:rsidRDefault="00537C6F" w:rsidP="00537C6F">
      <w:pPr>
        <w:ind w:firstLine="0"/>
        <w:jc w:val="left"/>
        <w:rPr>
          <w:rStyle w:val="AbsatzNormal"/>
          <w:lang w:val="es-ES"/>
        </w:rPr>
      </w:pPr>
      <w:r w:rsidRPr="00633B25">
        <w:rPr>
          <w:rStyle w:val="AbsatzNormal"/>
          <w:sz w:val="24"/>
          <w:szCs w:val="24"/>
          <w:lang w:val="es-VE"/>
        </w:rPr>
        <w:t xml:space="preserve">Adecuado: cuando las tres dimensiones </w:t>
      </w:r>
      <w:r>
        <w:rPr>
          <w:rStyle w:val="AbsatzNormal"/>
          <w:sz w:val="24"/>
          <w:szCs w:val="24"/>
          <w:lang w:val="es-VE"/>
        </w:rPr>
        <w:t>son</w:t>
      </w:r>
      <w:r w:rsidRPr="00633B25">
        <w:rPr>
          <w:rStyle w:val="AbsatzNormal"/>
          <w:sz w:val="24"/>
          <w:szCs w:val="24"/>
          <w:lang w:val="es-VE"/>
        </w:rPr>
        <w:t xml:space="preserve"> aceptables.</w:t>
      </w:r>
    </w:p>
    <w:p w14:paraId="4B993FBC" w14:textId="77777777" w:rsidR="00537C6F" w:rsidRDefault="00537C6F" w:rsidP="00537C6F">
      <w:pPr>
        <w:ind w:firstLine="0"/>
        <w:rPr>
          <w:sz w:val="24"/>
          <w:szCs w:val="24"/>
          <w:lang w:val="es-VE"/>
        </w:rPr>
      </w:pPr>
      <w:r w:rsidRPr="00EF237D">
        <w:rPr>
          <w:sz w:val="24"/>
          <w:szCs w:val="24"/>
          <w:lang w:val="es-VE"/>
        </w:rPr>
        <w:t>No adecuado:</w:t>
      </w:r>
      <w:r>
        <w:rPr>
          <w:sz w:val="24"/>
          <w:szCs w:val="24"/>
          <w:lang w:val="es-VE"/>
        </w:rPr>
        <w:t xml:space="preserve"> </w:t>
      </w:r>
      <w:r w:rsidRPr="00EF237D">
        <w:rPr>
          <w:sz w:val="24"/>
          <w:szCs w:val="24"/>
          <w:lang w:val="es-VE"/>
        </w:rPr>
        <w:t>cuando una o más dimensiones resultó no aceptable.</w:t>
      </w:r>
    </w:p>
    <w:p w14:paraId="524B3E67" w14:textId="3C7ABC5E" w:rsidR="00537C6F" w:rsidRPr="00633B25" w:rsidRDefault="00537C6F" w:rsidP="00537C6F">
      <w:pPr>
        <w:ind w:firstLine="0"/>
        <w:rPr>
          <w:sz w:val="24"/>
          <w:szCs w:val="24"/>
          <w:lang w:val="es-VE"/>
        </w:rPr>
      </w:pPr>
      <w:r w:rsidRPr="00633B25">
        <w:rPr>
          <w:sz w:val="24"/>
          <w:szCs w:val="24"/>
          <w:lang w:val="es-VE"/>
        </w:rPr>
        <w:t xml:space="preserve">Evaluación final: </w:t>
      </w:r>
      <w:r w:rsidRPr="00EF237D">
        <w:rPr>
          <w:i/>
          <w:iCs/>
          <w:sz w:val="24"/>
          <w:szCs w:val="24"/>
          <w:lang w:val="es-VE"/>
        </w:rPr>
        <w:t>No adecuado</w:t>
      </w:r>
      <w:r w:rsidRPr="00633B25">
        <w:rPr>
          <w:sz w:val="24"/>
          <w:szCs w:val="24"/>
          <w:lang w:val="es-VE"/>
        </w:rPr>
        <w:t>, ya que dos de las tres dimensiones resultaron no aceptables.</w:t>
      </w:r>
    </w:p>
    <w:p w14:paraId="2BA5CE0F" w14:textId="77777777" w:rsidR="00537C6F" w:rsidRPr="001328B2" w:rsidRDefault="00537C6F" w:rsidP="00537C6F">
      <w:pPr>
        <w:pStyle w:val="heading1"/>
        <w:rPr>
          <w:rStyle w:val="AbsatzNormal"/>
          <w:sz w:val="24"/>
          <w:szCs w:val="24"/>
          <w:lang w:val="es-ES"/>
        </w:rPr>
      </w:pPr>
      <w:r w:rsidRPr="001328B2">
        <w:rPr>
          <w:rStyle w:val="AbsatzNormal"/>
          <w:sz w:val="24"/>
          <w:szCs w:val="24"/>
          <w:lang w:val="es-ES"/>
        </w:rPr>
        <w:lastRenderedPageBreak/>
        <w:t xml:space="preserve">CONCLUSIONeS </w:t>
      </w:r>
    </w:p>
    <w:p w14:paraId="12DEEAB8" w14:textId="77777777" w:rsidR="00537C6F" w:rsidRDefault="00537C6F" w:rsidP="00537C6F">
      <w:pPr>
        <w:pStyle w:val="heading1withoutNr"/>
        <w:jc w:val="both"/>
        <w:rPr>
          <w:rFonts w:cs="Times New Roman"/>
          <w:bCs w:val="0"/>
          <w:caps w:val="0"/>
          <w:snapToGrid/>
          <w:kern w:val="0"/>
          <w:sz w:val="24"/>
          <w:szCs w:val="24"/>
          <w:lang w:val="es-VE" w:eastAsia="de-DE"/>
        </w:rPr>
      </w:pPr>
      <w:r w:rsidRPr="00633B25">
        <w:rPr>
          <w:rFonts w:cs="Times New Roman"/>
          <w:bCs w:val="0"/>
          <w:caps w:val="0"/>
          <w:snapToGrid/>
          <w:kern w:val="0"/>
          <w:sz w:val="24"/>
          <w:szCs w:val="24"/>
          <w:lang w:val="es-VE" w:eastAsia="de-DE"/>
        </w:rPr>
        <w:t xml:space="preserve">La evaluación del Programa Nacional de Prevención y Control de las Enfermedades Cerebrovasculares </w:t>
      </w:r>
      <w:r>
        <w:rPr>
          <w:rFonts w:cs="Times New Roman"/>
          <w:bCs w:val="0"/>
          <w:caps w:val="0"/>
          <w:snapToGrid/>
          <w:kern w:val="0"/>
          <w:sz w:val="24"/>
          <w:szCs w:val="24"/>
          <w:lang w:val="es-VE" w:eastAsia="de-DE"/>
        </w:rPr>
        <w:t xml:space="preserve">se </w:t>
      </w:r>
      <w:r w:rsidRPr="00633B25">
        <w:rPr>
          <w:rFonts w:cs="Times New Roman"/>
          <w:bCs w:val="0"/>
          <w:caps w:val="0"/>
          <w:snapToGrid/>
          <w:kern w:val="0"/>
          <w:sz w:val="24"/>
          <w:szCs w:val="24"/>
          <w:lang w:val="es-VE" w:eastAsia="de-DE"/>
        </w:rPr>
        <w:t>consideró no satisfactoria</w:t>
      </w:r>
      <w:r>
        <w:rPr>
          <w:rFonts w:cs="Times New Roman"/>
          <w:bCs w:val="0"/>
          <w:caps w:val="0"/>
          <w:snapToGrid/>
          <w:kern w:val="0"/>
          <w:sz w:val="24"/>
          <w:szCs w:val="24"/>
          <w:lang w:val="es-VE" w:eastAsia="de-DE"/>
        </w:rPr>
        <w:t>. P</w:t>
      </w:r>
      <w:r w:rsidRPr="00E95511">
        <w:rPr>
          <w:rFonts w:cs="Times New Roman"/>
          <w:bCs w:val="0"/>
          <w:caps w:val="0"/>
          <w:snapToGrid/>
          <w:kern w:val="0"/>
          <w:sz w:val="24"/>
          <w:szCs w:val="24"/>
          <w:lang w:val="es-VE" w:eastAsia="de-DE"/>
        </w:rPr>
        <w:t xml:space="preserve">or lo que aquellos criterios de las dimensiones de estructura, proceso y resultado fueron no adecuados. </w:t>
      </w:r>
    </w:p>
    <w:p w14:paraId="0CDF6372" w14:textId="77777777" w:rsidR="00537C6F" w:rsidRPr="003011F1" w:rsidRDefault="00537C6F" w:rsidP="00537C6F">
      <w:pPr>
        <w:pStyle w:val="referenceItem"/>
        <w:rPr>
          <w:sz w:val="24"/>
          <w:szCs w:val="24"/>
          <w:lang w:val="es-VE" w:eastAsia="de-DE"/>
        </w:rPr>
      </w:pPr>
      <w:r w:rsidRPr="00013505">
        <w:rPr>
          <w:lang w:val="es-VE" w:eastAsia="de-DE"/>
        </w:rPr>
        <w:t>-</w:t>
      </w:r>
      <w:r w:rsidRPr="003011F1">
        <w:rPr>
          <w:sz w:val="24"/>
          <w:szCs w:val="24"/>
          <w:lang w:val="es-VE" w:eastAsia="de-DE"/>
        </w:rPr>
        <w:tab/>
        <w:t>En la dimensión estructura, se concluye que no se cuenta con los recursos humanos y materiales suficientes que lo categoricen como aceptable, dado que ninguno cumplió con la norma esperada.</w:t>
      </w:r>
    </w:p>
    <w:p w14:paraId="70F6D4A4" w14:textId="4B854D97" w:rsidR="00537C6F" w:rsidRPr="003011F1" w:rsidRDefault="00537C6F" w:rsidP="00537C6F">
      <w:pPr>
        <w:pStyle w:val="referenceItem"/>
        <w:rPr>
          <w:sz w:val="24"/>
          <w:szCs w:val="24"/>
          <w:lang w:val="es-VE" w:eastAsia="de-DE"/>
        </w:rPr>
      </w:pPr>
      <w:r w:rsidRPr="003011F1">
        <w:rPr>
          <w:sz w:val="24"/>
          <w:szCs w:val="24"/>
          <w:lang w:val="es-VE" w:eastAsia="de-DE"/>
        </w:rPr>
        <w:t>-</w:t>
      </w:r>
      <w:r w:rsidRPr="003011F1">
        <w:rPr>
          <w:sz w:val="24"/>
          <w:szCs w:val="24"/>
          <w:lang w:val="es-VE" w:eastAsia="de-DE"/>
        </w:rPr>
        <w:tab/>
        <w:t>En la dimensión proceso, se observ</w:t>
      </w:r>
      <w:r w:rsidR="00E5772A">
        <w:rPr>
          <w:sz w:val="24"/>
          <w:szCs w:val="24"/>
          <w:lang w:val="es-VE" w:eastAsia="de-DE"/>
        </w:rPr>
        <w:t>a</w:t>
      </w:r>
      <w:r w:rsidRPr="003011F1">
        <w:rPr>
          <w:sz w:val="24"/>
          <w:szCs w:val="24"/>
          <w:lang w:val="es-VE" w:eastAsia="de-DE"/>
        </w:rPr>
        <w:t xml:space="preserve"> que el criterio de consulta externa en la atención primaria en salud es evaluado de adecuado. </w:t>
      </w:r>
    </w:p>
    <w:p w14:paraId="48489BAD" w14:textId="77777777" w:rsidR="00537C6F" w:rsidRPr="003011F1" w:rsidRDefault="00537C6F" w:rsidP="00537C6F">
      <w:pPr>
        <w:pStyle w:val="referenceItem"/>
        <w:rPr>
          <w:sz w:val="24"/>
          <w:szCs w:val="24"/>
          <w:lang w:val="es-VE" w:eastAsia="de-DE"/>
        </w:rPr>
      </w:pPr>
      <w:r w:rsidRPr="003011F1">
        <w:rPr>
          <w:sz w:val="24"/>
          <w:szCs w:val="24"/>
          <w:lang w:val="es-VE" w:eastAsia="de-DE"/>
        </w:rPr>
        <w:t>-</w:t>
      </w:r>
      <w:r w:rsidRPr="003011F1">
        <w:rPr>
          <w:sz w:val="24"/>
          <w:szCs w:val="24"/>
          <w:lang w:val="es-VE" w:eastAsia="de-DE"/>
        </w:rPr>
        <w:tab/>
        <w:t>Los indicadores de resultado tampoco cumplieron las metas establecidas, refleja que los indicadores trazados para la mortalidad por enfermedades cerebrovasculares son elevados, por lo que dos de los tres criterios son evaluados de no aceptable.</w:t>
      </w:r>
    </w:p>
    <w:p w14:paraId="24891EAE" w14:textId="77777777" w:rsidR="00537C6F" w:rsidRDefault="00537C6F" w:rsidP="00537C6F">
      <w:pPr>
        <w:pStyle w:val="heading1"/>
        <w:rPr>
          <w:rStyle w:val="AbsatzNormal"/>
          <w:sz w:val="24"/>
          <w:szCs w:val="24"/>
          <w:lang w:val="es-ES"/>
        </w:rPr>
      </w:pPr>
      <w:r>
        <w:rPr>
          <w:rStyle w:val="AbsatzNormal"/>
          <w:sz w:val="24"/>
          <w:szCs w:val="24"/>
          <w:lang w:val="es-ES"/>
        </w:rPr>
        <w:t>RECOMENDACIONES</w:t>
      </w:r>
    </w:p>
    <w:p w14:paraId="3B6AC317" w14:textId="77777777" w:rsidR="00537C6F" w:rsidRPr="00B24CC3" w:rsidRDefault="00537C6F" w:rsidP="00537C6F">
      <w:pPr>
        <w:rPr>
          <w:sz w:val="24"/>
          <w:szCs w:val="24"/>
          <w:lang w:val="es-ES" w:eastAsia="en-US"/>
        </w:rPr>
      </w:pPr>
      <w:r w:rsidRPr="00B24CC3">
        <w:rPr>
          <w:sz w:val="24"/>
          <w:szCs w:val="24"/>
          <w:lang w:val="es-ES" w:eastAsia="en-US"/>
        </w:rPr>
        <w:t xml:space="preserve">Se sugiere: </w:t>
      </w:r>
    </w:p>
    <w:p w14:paraId="09CB26F2" w14:textId="77777777" w:rsidR="00537C6F" w:rsidRPr="00B24CC3" w:rsidRDefault="00537C6F" w:rsidP="00537C6F">
      <w:pPr>
        <w:pStyle w:val="Prrafodelista"/>
        <w:numPr>
          <w:ilvl w:val="0"/>
          <w:numId w:val="39"/>
        </w:numPr>
        <w:rPr>
          <w:sz w:val="24"/>
          <w:szCs w:val="24"/>
          <w:lang w:val="es-ES" w:eastAsia="en-US"/>
        </w:rPr>
      </w:pPr>
      <w:r w:rsidRPr="00B24CC3">
        <w:rPr>
          <w:sz w:val="24"/>
          <w:szCs w:val="24"/>
          <w:lang w:val="es-ES" w:eastAsia="en-US"/>
        </w:rPr>
        <w:t xml:space="preserve">Proporcionar continuidad a las acciones establecidas en el Programa Nacional de Prevención y Control de las Enfermedades Cerebrovasculares con el mismo tipo de seguimiento y supervisión, de forma que se mejoren estándares obtenidos de forma anual. </w:t>
      </w:r>
    </w:p>
    <w:p w14:paraId="51A1C05E" w14:textId="77777777" w:rsidR="00537C6F" w:rsidRPr="00B24CC3" w:rsidRDefault="00537C6F" w:rsidP="00537C6F">
      <w:pPr>
        <w:pStyle w:val="Prrafodelista"/>
        <w:numPr>
          <w:ilvl w:val="0"/>
          <w:numId w:val="39"/>
        </w:numPr>
        <w:rPr>
          <w:sz w:val="24"/>
          <w:szCs w:val="24"/>
          <w:lang w:val="es-ES" w:eastAsia="en-US"/>
        </w:rPr>
      </w:pPr>
      <w:r w:rsidRPr="00B24CC3">
        <w:rPr>
          <w:sz w:val="24"/>
          <w:szCs w:val="24"/>
          <w:lang w:val="es-ES" w:eastAsia="en-US"/>
        </w:rPr>
        <w:t xml:space="preserve">Promover el seguimiento al análisis de información y no suspender las evaluaciones con enfoque táctico.  </w:t>
      </w:r>
    </w:p>
    <w:p w14:paraId="455DC7AA" w14:textId="77777777" w:rsidR="00537C6F" w:rsidRPr="00B24CC3" w:rsidRDefault="00537C6F" w:rsidP="00537C6F">
      <w:pPr>
        <w:pStyle w:val="Prrafodelista"/>
        <w:numPr>
          <w:ilvl w:val="0"/>
          <w:numId w:val="39"/>
        </w:numPr>
        <w:rPr>
          <w:sz w:val="24"/>
          <w:szCs w:val="24"/>
          <w:lang w:val="es-ES" w:eastAsia="en-US"/>
        </w:rPr>
      </w:pPr>
      <w:r w:rsidRPr="00B24CC3">
        <w:rPr>
          <w:sz w:val="24"/>
          <w:szCs w:val="24"/>
          <w:lang w:val="es-ES" w:eastAsia="en-US"/>
        </w:rPr>
        <w:t>Buena gobernanza en todos los sectores para el abastecimiento de insumos.</w:t>
      </w:r>
    </w:p>
    <w:p w14:paraId="39C1A5B7" w14:textId="77777777" w:rsidR="00537C6F" w:rsidRPr="00B24CC3" w:rsidRDefault="00537C6F" w:rsidP="00537C6F">
      <w:pPr>
        <w:pStyle w:val="Prrafodelista"/>
        <w:numPr>
          <w:ilvl w:val="0"/>
          <w:numId w:val="39"/>
        </w:numPr>
        <w:rPr>
          <w:sz w:val="24"/>
          <w:szCs w:val="24"/>
          <w:lang w:val="es-ES" w:eastAsia="en-US"/>
        </w:rPr>
      </w:pPr>
      <w:r w:rsidRPr="00B24CC3">
        <w:rPr>
          <w:sz w:val="24"/>
          <w:szCs w:val="24"/>
          <w:lang w:val="es-ES" w:eastAsia="en-US"/>
        </w:rPr>
        <w:t>Empoderar y sensibilizar al capital humano para mejoras en el programa.</w:t>
      </w:r>
    </w:p>
    <w:p w14:paraId="54FF38F8" w14:textId="77777777" w:rsidR="00537C6F" w:rsidRPr="00B24CC3" w:rsidRDefault="00537C6F" w:rsidP="00537C6F">
      <w:pPr>
        <w:pStyle w:val="referenceItem"/>
        <w:rPr>
          <w:lang w:val="es-VE" w:eastAsia="de-DE"/>
        </w:rPr>
      </w:pPr>
    </w:p>
    <w:p w14:paraId="52DE7F66" w14:textId="77777777" w:rsidR="00537C6F" w:rsidRPr="00537C6F" w:rsidRDefault="00537C6F">
      <w:pPr>
        <w:tabs>
          <w:tab w:val="clear" w:pos="340"/>
          <w:tab w:val="clear" w:pos="680"/>
        </w:tabs>
        <w:ind w:firstLine="0"/>
        <w:jc w:val="left"/>
        <w:rPr>
          <w:lang w:val="es-VE"/>
        </w:rPr>
      </w:pPr>
    </w:p>
    <w:p w14:paraId="37F0A7F7" w14:textId="77777777" w:rsidR="00537C6F" w:rsidRDefault="00537C6F">
      <w:pPr>
        <w:tabs>
          <w:tab w:val="clear" w:pos="340"/>
          <w:tab w:val="clear" w:pos="680"/>
        </w:tabs>
        <w:ind w:firstLine="0"/>
        <w:jc w:val="left"/>
      </w:pPr>
    </w:p>
    <w:p w14:paraId="13E753BB" w14:textId="77777777" w:rsidR="00537C6F" w:rsidRDefault="00537C6F">
      <w:pPr>
        <w:tabs>
          <w:tab w:val="clear" w:pos="340"/>
          <w:tab w:val="clear" w:pos="680"/>
        </w:tabs>
        <w:ind w:firstLine="0"/>
        <w:jc w:val="left"/>
      </w:pPr>
    </w:p>
    <w:p w14:paraId="5B58E166" w14:textId="77777777" w:rsidR="00537C6F" w:rsidRDefault="00537C6F">
      <w:pPr>
        <w:tabs>
          <w:tab w:val="clear" w:pos="340"/>
          <w:tab w:val="clear" w:pos="680"/>
        </w:tabs>
        <w:ind w:firstLine="0"/>
        <w:jc w:val="left"/>
      </w:pPr>
    </w:p>
    <w:p w14:paraId="5B3BB91D" w14:textId="77777777" w:rsidR="00537C6F" w:rsidRDefault="00537C6F">
      <w:pPr>
        <w:tabs>
          <w:tab w:val="clear" w:pos="340"/>
          <w:tab w:val="clear" w:pos="680"/>
        </w:tabs>
        <w:ind w:firstLine="0"/>
        <w:jc w:val="left"/>
      </w:pPr>
    </w:p>
    <w:p w14:paraId="42F6E93B" w14:textId="77777777" w:rsidR="00537C6F" w:rsidRDefault="00537C6F">
      <w:pPr>
        <w:tabs>
          <w:tab w:val="clear" w:pos="340"/>
          <w:tab w:val="clear" w:pos="680"/>
        </w:tabs>
        <w:ind w:firstLine="0"/>
        <w:jc w:val="left"/>
      </w:pPr>
    </w:p>
    <w:p w14:paraId="5E62D5A3" w14:textId="77777777" w:rsidR="00537C6F" w:rsidRDefault="00537C6F">
      <w:pPr>
        <w:tabs>
          <w:tab w:val="clear" w:pos="340"/>
          <w:tab w:val="clear" w:pos="680"/>
        </w:tabs>
        <w:ind w:firstLine="0"/>
        <w:jc w:val="left"/>
      </w:pPr>
    </w:p>
    <w:p w14:paraId="7E70ED95" w14:textId="77777777" w:rsidR="00537C6F" w:rsidRDefault="00537C6F">
      <w:pPr>
        <w:tabs>
          <w:tab w:val="clear" w:pos="340"/>
          <w:tab w:val="clear" w:pos="680"/>
        </w:tabs>
        <w:ind w:firstLine="0"/>
        <w:jc w:val="left"/>
      </w:pPr>
    </w:p>
    <w:p w14:paraId="2C43FC10" w14:textId="77777777" w:rsidR="00537C6F" w:rsidRDefault="00537C6F">
      <w:pPr>
        <w:tabs>
          <w:tab w:val="clear" w:pos="340"/>
          <w:tab w:val="clear" w:pos="680"/>
        </w:tabs>
        <w:ind w:firstLine="0"/>
        <w:jc w:val="left"/>
      </w:pPr>
    </w:p>
    <w:p w14:paraId="2488B01E" w14:textId="77777777" w:rsidR="00537C6F" w:rsidRDefault="00537C6F">
      <w:pPr>
        <w:tabs>
          <w:tab w:val="clear" w:pos="340"/>
          <w:tab w:val="clear" w:pos="680"/>
        </w:tabs>
        <w:ind w:firstLine="0"/>
        <w:jc w:val="left"/>
      </w:pPr>
    </w:p>
    <w:p w14:paraId="67E024D8" w14:textId="77777777" w:rsidR="00537C6F" w:rsidRDefault="00537C6F">
      <w:pPr>
        <w:tabs>
          <w:tab w:val="clear" w:pos="340"/>
          <w:tab w:val="clear" w:pos="680"/>
        </w:tabs>
        <w:ind w:firstLine="0"/>
        <w:jc w:val="left"/>
      </w:pPr>
    </w:p>
    <w:p w14:paraId="1BC166AF" w14:textId="77777777" w:rsidR="00537C6F" w:rsidRDefault="00537C6F">
      <w:pPr>
        <w:tabs>
          <w:tab w:val="clear" w:pos="340"/>
          <w:tab w:val="clear" w:pos="680"/>
        </w:tabs>
        <w:ind w:firstLine="0"/>
        <w:jc w:val="left"/>
      </w:pPr>
    </w:p>
    <w:p w14:paraId="70D4E1DC" w14:textId="77777777" w:rsidR="00537C6F" w:rsidRDefault="00537C6F">
      <w:pPr>
        <w:tabs>
          <w:tab w:val="clear" w:pos="340"/>
          <w:tab w:val="clear" w:pos="680"/>
        </w:tabs>
        <w:ind w:firstLine="0"/>
        <w:jc w:val="left"/>
      </w:pPr>
    </w:p>
    <w:p w14:paraId="6CF34883" w14:textId="77777777" w:rsidR="00537C6F" w:rsidRDefault="00537C6F">
      <w:pPr>
        <w:tabs>
          <w:tab w:val="clear" w:pos="340"/>
          <w:tab w:val="clear" w:pos="680"/>
        </w:tabs>
        <w:ind w:firstLine="0"/>
        <w:jc w:val="left"/>
      </w:pPr>
    </w:p>
    <w:p w14:paraId="2A12055C" w14:textId="77777777" w:rsidR="00537C6F" w:rsidRDefault="00537C6F">
      <w:pPr>
        <w:tabs>
          <w:tab w:val="clear" w:pos="340"/>
          <w:tab w:val="clear" w:pos="680"/>
        </w:tabs>
        <w:ind w:firstLine="0"/>
        <w:jc w:val="left"/>
      </w:pPr>
    </w:p>
    <w:p w14:paraId="747A51CD" w14:textId="77777777" w:rsidR="00537C6F" w:rsidRDefault="00537C6F">
      <w:pPr>
        <w:tabs>
          <w:tab w:val="clear" w:pos="340"/>
          <w:tab w:val="clear" w:pos="680"/>
        </w:tabs>
        <w:ind w:firstLine="0"/>
        <w:jc w:val="left"/>
      </w:pPr>
    </w:p>
    <w:p w14:paraId="246C3AD8" w14:textId="77777777" w:rsidR="00537C6F" w:rsidRDefault="00537C6F">
      <w:pPr>
        <w:tabs>
          <w:tab w:val="clear" w:pos="340"/>
          <w:tab w:val="clear" w:pos="680"/>
        </w:tabs>
        <w:ind w:firstLine="0"/>
        <w:jc w:val="left"/>
      </w:pPr>
    </w:p>
    <w:p w14:paraId="767C2C0D" w14:textId="77777777" w:rsidR="00537C6F" w:rsidRDefault="00537C6F">
      <w:pPr>
        <w:tabs>
          <w:tab w:val="clear" w:pos="340"/>
          <w:tab w:val="clear" w:pos="680"/>
        </w:tabs>
        <w:ind w:firstLine="0"/>
        <w:jc w:val="left"/>
      </w:pPr>
    </w:p>
    <w:p w14:paraId="2BFB5482" w14:textId="77777777" w:rsidR="00537C6F" w:rsidRDefault="00537C6F">
      <w:pPr>
        <w:tabs>
          <w:tab w:val="clear" w:pos="340"/>
          <w:tab w:val="clear" w:pos="680"/>
        </w:tabs>
        <w:ind w:firstLine="0"/>
        <w:jc w:val="left"/>
      </w:pPr>
    </w:p>
    <w:p w14:paraId="2ED3E5B6" w14:textId="77777777" w:rsidR="009F6AB6" w:rsidRDefault="009F6AB6" w:rsidP="00537C6F">
      <w:pPr>
        <w:pStyle w:val="referenceItem"/>
        <w:ind w:left="0" w:firstLine="0"/>
        <w:rPr>
          <w:lang w:val="es-VE" w:eastAsia="de-DE"/>
        </w:rPr>
      </w:pPr>
    </w:p>
    <w:p w14:paraId="7A72F3D5" w14:textId="77777777" w:rsidR="009F6AB6" w:rsidRPr="00B24CC3" w:rsidRDefault="009F6AB6" w:rsidP="00B24CC3">
      <w:pPr>
        <w:pStyle w:val="referenceItem"/>
        <w:rPr>
          <w:lang w:val="es-VE" w:eastAsia="de-DE"/>
        </w:rPr>
      </w:pPr>
    </w:p>
    <w:p w14:paraId="4A60611F" w14:textId="0D630D11" w:rsidR="000350F0" w:rsidRPr="001328B2" w:rsidRDefault="000350F0">
      <w:pPr>
        <w:pStyle w:val="heading1withoutNr"/>
        <w:rPr>
          <w:rStyle w:val="AbsatzNormal"/>
          <w:sz w:val="24"/>
          <w:szCs w:val="24"/>
          <w:lang w:val="es-ES"/>
        </w:rPr>
      </w:pPr>
      <w:r w:rsidRPr="001328B2">
        <w:rPr>
          <w:rStyle w:val="initial12"/>
          <w:lang w:val="es-ES"/>
        </w:rPr>
        <w:lastRenderedPageBreak/>
        <w:t>R</w:t>
      </w:r>
      <w:r w:rsidRPr="001328B2">
        <w:rPr>
          <w:rStyle w:val="AbsatzNormal"/>
          <w:sz w:val="24"/>
          <w:szCs w:val="24"/>
          <w:lang w:val="es-ES"/>
        </w:rPr>
        <w:t>EFERE</w:t>
      </w:r>
      <w:r w:rsidR="00156A5B" w:rsidRPr="001328B2">
        <w:rPr>
          <w:rStyle w:val="AbsatzNormal"/>
          <w:sz w:val="24"/>
          <w:szCs w:val="24"/>
          <w:lang w:val="es-ES"/>
        </w:rPr>
        <w:t>NCIa</w:t>
      </w:r>
      <w:r w:rsidRPr="001328B2">
        <w:rPr>
          <w:rStyle w:val="AbsatzNormal"/>
          <w:sz w:val="24"/>
          <w:szCs w:val="24"/>
          <w:lang w:val="es-ES"/>
        </w:rPr>
        <w:t xml:space="preserve">S </w:t>
      </w:r>
    </w:p>
    <w:p w14:paraId="25ECC091" w14:textId="729D0A5F" w:rsidR="00633B25" w:rsidRPr="00633B25" w:rsidRDefault="00633B25" w:rsidP="00633B25">
      <w:pPr>
        <w:rPr>
          <w:sz w:val="24"/>
          <w:szCs w:val="24"/>
          <w:lang w:val="es-VE"/>
        </w:rPr>
      </w:pPr>
      <w:r w:rsidRPr="00633B25">
        <w:rPr>
          <w:sz w:val="24"/>
          <w:szCs w:val="24"/>
          <w:lang w:val="es-VE"/>
        </w:rPr>
        <w:t>1.</w:t>
      </w:r>
      <w:r w:rsidRPr="00633B25">
        <w:rPr>
          <w:sz w:val="24"/>
          <w:szCs w:val="24"/>
          <w:lang w:val="es-VE"/>
        </w:rPr>
        <w:tab/>
        <w:t xml:space="preserve">Díaz-Piñera A, Rodríguez </w:t>
      </w:r>
      <w:proofErr w:type="spellStart"/>
      <w:r w:rsidRPr="00633B25">
        <w:rPr>
          <w:sz w:val="24"/>
          <w:szCs w:val="24"/>
          <w:lang w:val="es-VE"/>
        </w:rPr>
        <w:t>Salvá</w:t>
      </w:r>
      <w:proofErr w:type="spellEnd"/>
      <w:r w:rsidRPr="00633B25">
        <w:rPr>
          <w:sz w:val="24"/>
          <w:szCs w:val="24"/>
          <w:lang w:val="es-VE"/>
        </w:rPr>
        <w:t xml:space="preserve"> A, </w:t>
      </w:r>
      <w:proofErr w:type="spellStart"/>
      <w:r w:rsidRPr="00633B25">
        <w:rPr>
          <w:sz w:val="24"/>
          <w:szCs w:val="24"/>
          <w:lang w:val="es-VE"/>
        </w:rPr>
        <w:t>Balcindes</w:t>
      </w:r>
      <w:proofErr w:type="spellEnd"/>
      <w:r w:rsidRPr="00633B25">
        <w:rPr>
          <w:sz w:val="24"/>
          <w:szCs w:val="24"/>
          <w:lang w:val="es-VE"/>
        </w:rPr>
        <w:t xml:space="preserve"> Acosta S, García Roche R, Álvarez Mesa N. Evaluación de la atención médica a pacientes con hipertensión arterial en cuatro áreas urbanas. Revista </w:t>
      </w:r>
      <w:proofErr w:type="spellStart"/>
      <w:r w:rsidRPr="00633B25">
        <w:rPr>
          <w:sz w:val="24"/>
          <w:szCs w:val="24"/>
          <w:lang w:val="es-VE"/>
        </w:rPr>
        <w:t>Finlay</w:t>
      </w:r>
      <w:proofErr w:type="spellEnd"/>
      <w:r w:rsidRPr="00633B25">
        <w:rPr>
          <w:sz w:val="24"/>
          <w:szCs w:val="24"/>
          <w:lang w:val="es-VE"/>
        </w:rPr>
        <w:t xml:space="preserve"> [Internet]. 2018 [citado 07 Mar 2025]; 8(2): [aprox. 17 p.]. Disponible en: </w:t>
      </w:r>
      <w:hyperlink r:id="rId10" w:history="1">
        <w:r w:rsidRPr="009F5E0B">
          <w:rPr>
            <w:rStyle w:val="Hipervnculo"/>
            <w:sz w:val="24"/>
            <w:szCs w:val="24"/>
            <w:lang w:val="es-VE"/>
          </w:rPr>
          <w:t>http://revfinlay.sld.cu/index.php/finlay/article/view/592</w:t>
        </w:r>
      </w:hyperlink>
      <w:r>
        <w:rPr>
          <w:sz w:val="24"/>
          <w:szCs w:val="24"/>
          <w:lang w:val="es-VE"/>
        </w:rPr>
        <w:t xml:space="preserve"> </w:t>
      </w:r>
    </w:p>
    <w:p w14:paraId="06A447C8" w14:textId="70FC739C" w:rsidR="00633B25" w:rsidRPr="00633B25" w:rsidRDefault="00633B25" w:rsidP="00633B25">
      <w:pPr>
        <w:rPr>
          <w:sz w:val="24"/>
          <w:szCs w:val="24"/>
          <w:lang w:val="es-VE"/>
        </w:rPr>
      </w:pPr>
      <w:r w:rsidRPr="00633B25">
        <w:rPr>
          <w:sz w:val="24"/>
          <w:szCs w:val="24"/>
          <w:lang w:val="es-VE"/>
        </w:rPr>
        <w:t>2.</w:t>
      </w:r>
      <w:r w:rsidRPr="00633B25">
        <w:rPr>
          <w:sz w:val="24"/>
          <w:szCs w:val="24"/>
          <w:lang w:val="es-VE"/>
        </w:rPr>
        <w:tab/>
        <w:t xml:space="preserve">Wong Silva J. Enfermedades crónicas no transmisibles, tarea pendiente de la Salud Pública Mundial. </w:t>
      </w:r>
      <w:proofErr w:type="spellStart"/>
      <w:r w:rsidRPr="00633B25">
        <w:rPr>
          <w:sz w:val="24"/>
          <w:szCs w:val="24"/>
          <w:lang w:val="es-VE"/>
        </w:rPr>
        <w:t>Rev</w:t>
      </w:r>
      <w:proofErr w:type="spellEnd"/>
      <w:r w:rsidRPr="00633B25">
        <w:rPr>
          <w:sz w:val="24"/>
          <w:szCs w:val="24"/>
          <w:lang w:val="es-VE"/>
        </w:rPr>
        <w:t xml:space="preserve"> Ciencias Médicas [Internet]. Jun 2023 [citado 07 Mar 2025]; 27(3): Disponible en: </w:t>
      </w:r>
      <w:hyperlink r:id="rId11" w:history="1">
        <w:r w:rsidR="00EF237D" w:rsidRPr="009F5E0B">
          <w:rPr>
            <w:rStyle w:val="Hipervnculo"/>
            <w:sz w:val="24"/>
            <w:szCs w:val="24"/>
            <w:lang w:val="es-VE"/>
          </w:rPr>
          <w:t>http://scielo.sld.cu/scielo.php?script=sci_arttext&amp;pid=S156131942023000300001&amp;lng=es</w:t>
        </w:r>
      </w:hyperlink>
      <w:r w:rsidR="00EF237D">
        <w:rPr>
          <w:sz w:val="24"/>
          <w:szCs w:val="24"/>
          <w:lang w:val="es-VE"/>
        </w:rPr>
        <w:t xml:space="preserve"> </w:t>
      </w:r>
    </w:p>
    <w:p w14:paraId="6762739C" w14:textId="77777777" w:rsidR="00633B25" w:rsidRPr="00633B25" w:rsidRDefault="00633B25" w:rsidP="00633B25">
      <w:pPr>
        <w:rPr>
          <w:sz w:val="24"/>
          <w:szCs w:val="24"/>
          <w:lang w:val="es-VE"/>
        </w:rPr>
      </w:pPr>
      <w:r w:rsidRPr="00633B25">
        <w:rPr>
          <w:sz w:val="24"/>
          <w:szCs w:val="24"/>
          <w:lang w:val="es-VE"/>
        </w:rPr>
        <w:t>3.</w:t>
      </w:r>
      <w:r w:rsidRPr="00633B25">
        <w:rPr>
          <w:sz w:val="24"/>
          <w:szCs w:val="24"/>
          <w:lang w:val="es-VE"/>
        </w:rPr>
        <w:tab/>
        <w:t xml:space="preserve">Serra Valdés Miguel, Serra Ruíz Melissa, Viera García Marleny. Las enfermedades crónicas no transmisibles: magnitud actual y tendencias futuras. Rev. </w:t>
      </w:r>
      <w:proofErr w:type="spellStart"/>
      <w:r w:rsidRPr="00633B25">
        <w:rPr>
          <w:sz w:val="24"/>
          <w:szCs w:val="24"/>
          <w:lang w:val="es-VE"/>
        </w:rPr>
        <w:t>Finlay</w:t>
      </w:r>
      <w:proofErr w:type="spellEnd"/>
      <w:r w:rsidRPr="00633B25">
        <w:rPr>
          <w:sz w:val="24"/>
          <w:szCs w:val="24"/>
          <w:lang w:val="es-VE"/>
        </w:rPr>
        <w:t xml:space="preserve"> [Internet].   Jun 2018 [citado 07 Mar 2025]; 8(2). Disponible en: http://scielo.sld.cu/scielo.php?script=sci_arttext&amp;pid=S222124342018000200008&amp;lng=es </w:t>
      </w:r>
    </w:p>
    <w:p w14:paraId="46FA0B1A" w14:textId="77777777" w:rsidR="00633B25" w:rsidRPr="00633B25" w:rsidRDefault="00633B25" w:rsidP="00633B25">
      <w:pPr>
        <w:rPr>
          <w:sz w:val="24"/>
          <w:szCs w:val="24"/>
          <w:lang w:val="es-VE"/>
        </w:rPr>
      </w:pPr>
      <w:r w:rsidRPr="00633B25">
        <w:rPr>
          <w:sz w:val="24"/>
          <w:szCs w:val="24"/>
          <w:lang w:val="es-VE"/>
        </w:rPr>
        <w:t>4.</w:t>
      </w:r>
      <w:r w:rsidRPr="00633B25">
        <w:rPr>
          <w:sz w:val="24"/>
          <w:szCs w:val="24"/>
          <w:lang w:val="es-VE"/>
        </w:rPr>
        <w:tab/>
      </w:r>
      <w:proofErr w:type="spellStart"/>
      <w:r w:rsidRPr="00633B25">
        <w:rPr>
          <w:sz w:val="24"/>
          <w:szCs w:val="24"/>
          <w:lang w:val="es-VE"/>
        </w:rPr>
        <w:t>Dotres</w:t>
      </w:r>
      <w:proofErr w:type="spellEnd"/>
      <w:r w:rsidRPr="00633B25">
        <w:rPr>
          <w:sz w:val="24"/>
          <w:szCs w:val="24"/>
          <w:lang w:val="es-VE"/>
        </w:rPr>
        <w:t xml:space="preserve"> Martínez C, Pérez González R, </w:t>
      </w:r>
      <w:proofErr w:type="spellStart"/>
      <w:r w:rsidRPr="00633B25">
        <w:rPr>
          <w:sz w:val="24"/>
          <w:szCs w:val="24"/>
          <w:lang w:val="es-VE"/>
        </w:rPr>
        <w:t>Ramirez</w:t>
      </w:r>
      <w:proofErr w:type="spellEnd"/>
      <w:r w:rsidRPr="00633B25">
        <w:rPr>
          <w:sz w:val="24"/>
          <w:szCs w:val="24"/>
          <w:lang w:val="es-VE"/>
        </w:rPr>
        <w:t xml:space="preserve"> Márquez A, Córdoba Vargas L, Santín Peña M. Programa Nacional de Prevención y Control de las Enfermedades Cerebrovasculares. Ministerio de Salud Pública. [Internet]. Jun 2000. [citado 07 Mar 2025]; [Aprox. 23 p]. Disponible en: https://instituciones.sld.cu/ptesgrandes/programas-de-aps/ </w:t>
      </w:r>
    </w:p>
    <w:p w14:paraId="0188BFB6" w14:textId="77777777" w:rsidR="00633B25" w:rsidRPr="00633B25" w:rsidRDefault="00633B25" w:rsidP="00633B25">
      <w:pPr>
        <w:rPr>
          <w:sz w:val="24"/>
          <w:szCs w:val="24"/>
          <w:lang w:val="es-VE"/>
        </w:rPr>
      </w:pPr>
      <w:r w:rsidRPr="00633B25">
        <w:rPr>
          <w:sz w:val="24"/>
          <w:szCs w:val="24"/>
          <w:lang w:val="es-VE"/>
        </w:rPr>
        <w:t>5.</w:t>
      </w:r>
      <w:r w:rsidRPr="00633B25">
        <w:rPr>
          <w:sz w:val="24"/>
          <w:szCs w:val="24"/>
          <w:lang w:val="es-VE"/>
        </w:rPr>
        <w:tab/>
      </w:r>
      <w:proofErr w:type="spellStart"/>
      <w:r w:rsidRPr="00633B25">
        <w:rPr>
          <w:sz w:val="24"/>
          <w:szCs w:val="24"/>
          <w:lang w:val="es-VE"/>
        </w:rPr>
        <w:t>Arbona</w:t>
      </w:r>
      <w:proofErr w:type="spellEnd"/>
      <w:r w:rsidRPr="00633B25">
        <w:rPr>
          <w:sz w:val="24"/>
          <w:szCs w:val="24"/>
          <w:lang w:val="es-VE"/>
        </w:rPr>
        <w:t xml:space="preserve"> G. Bases y métodos para evaluar los programas de salud. Secretario de Salud, Departamento de Salud del Estado Libre Asociado de Puerto Rico. [Internet]. 1957 [Citado 07 Mar 2025]. Disponible en: https://www.google.com/url?sa=t&amp;source=web&amp;rct=j&amp;opi=89978449&amp;url=https://iris.paho.org/bitstream/handle/10665.2/12277/v43n6p540.pdf%3Fsequence%3D&amp;ved=2ahUKEwjMtIeLifmLAxV4RDABHdCFFkMQFnoECAsQAQ&amp;usg=AOvVaw0x5c8WhzihRaZqEqMnkHCU </w:t>
      </w:r>
    </w:p>
    <w:p w14:paraId="762F65BB" w14:textId="77777777" w:rsidR="00633B25" w:rsidRPr="00633B25" w:rsidRDefault="00633B25" w:rsidP="00633B25">
      <w:pPr>
        <w:rPr>
          <w:sz w:val="24"/>
          <w:szCs w:val="24"/>
          <w:lang w:val="es-VE"/>
        </w:rPr>
      </w:pPr>
      <w:r w:rsidRPr="00633B25">
        <w:rPr>
          <w:sz w:val="24"/>
          <w:szCs w:val="24"/>
          <w:lang w:val="es-VE"/>
        </w:rPr>
        <w:t>6.</w:t>
      </w:r>
      <w:r w:rsidRPr="00633B25">
        <w:rPr>
          <w:sz w:val="24"/>
          <w:szCs w:val="24"/>
          <w:lang w:val="es-VE"/>
        </w:rPr>
        <w:tab/>
        <w:t>Anuario Estadístico de Salud 2022. República de Cuba. Dirección de Registros Médicos y Estadísticas de Salud. La Habana, 2023. Versión electrónica ISSN: 1561-4433.</w:t>
      </w:r>
    </w:p>
    <w:p w14:paraId="74CE6BC7" w14:textId="135EB51E" w:rsidR="000350F0" w:rsidRPr="00953915" w:rsidRDefault="00633B25" w:rsidP="00633B25">
      <w:pPr>
        <w:rPr>
          <w:lang w:val="es-VE"/>
        </w:rPr>
        <w:sectPr w:rsidR="000350F0" w:rsidRPr="00953915" w:rsidSect="003342AD">
          <w:type w:val="continuous"/>
          <w:pgSz w:w="11907" w:h="15819" w:code="218"/>
          <w:pgMar w:top="1417" w:right="794" w:bottom="2268" w:left="1077" w:header="850" w:footer="850" w:gutter="0"/>
          <w:cols w:space="340"/>
          <w:docGrid w:linePitch="360"/>
        </w:sectPr>
      </w:pPr>
      <w:r w:rsidRPr="00633B25">
        <w:rPr>
          <w:sz w:val="24"/>
          <w:szCs w:val="24"/>
          <w:lang w:val="es-VE"/>
        </w:rPr>
        <w:t>7.</w:t>
      </w:r>
      <w:r w:rsidRPr="00633B25">
        <w:rPr>
          <w:sz w:val="24"/>
          <w:szCs w:val="24"/>
          <w:lang w:val="es-VE"/>
        </w:rPr>
        <w:tab/>
        <w:t>Donabedian A. La calidad de la Atención médica. Rev. Calidad Asistencial [Internet] 2001. [citado 07 Mar 2025]. Disponible en: https://www.google.com/url?sa=t&amp;source=web&amp;rct=j&amp;opi=89978449&amp;url=https://www.fadq.org/wp-content/uploads/2019/07/La_Calidad_de_la_Atencion_Medica_Donabedian.pdf&amp;ved=2ahUKEwjEx8_JifmLAxXpQTABHWEfFtEQFnoECBUQAQ&amp;usg=AOvVaw0rknfKvRECJtKMnr4p2FfA</w:t>
      </w:r>
    </w:p>
    <w:p w14:paraId="2E09B8B1" w14:textId="77777777" w:rsidR="000350F0" w:rsidRPr="00953915" w:rsidRDefault="000350F0">
      <w:pPr>
        <w:pStyle w:val="End"/>
        <w:rPr>
          <w:lang w:val="es-VE"/>
        </w:rPr>
      </w:pPr>
    </w:p>
    <w:p w14:paraId="45FF1A78" w14:textId="77777777" w:rsidR="000350F0" w:rsidRPr="00953915" w:rsidRDefault="000350F0">
      <w:pPr>
        <w:pStyle w:val="End"/>
        <w:rPr>
          <w:lang w:val="es-VE"/>
        </w:rPr>
      </w:pPr>
    </w:p>
    <w:sectPr w:rsidR="000350F0" w:rsidRPr="00953915">
      <w:type w:val="continuous"/>
      <w:pgSz w:w="11907" w:h="15819" w:code="218"/>
      <w:pgMar w:top="1417" w:right="794" w:bottom="2268" w:left="1077"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2D7A1" w14:textId="77777777" w:rsidR="00E608EC" w:rsidRDefault="00E608EC">
      <w:r>
        <w:separator/>
      </w:r>
    </w:p>
  </w:endnote>
  <w:endnote w:type="continuationSeparator" w:id="0">
    <w:p w14:paraId="1FDDFCC6" w14:textId="77777777" w:rsidR="00E608EC" w:rsidRDefault="00E6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3D59E" w14:textId="77777777" w:rsidR="00E608EC" w:rsidRDefault="00E608EC">
      <w:pPr>
        <w:pStyle w:val="p1a"/>
      </w:pPr>
      <w:r>
        <w:separator/>
      </w:r>
    </w:p>
  </w:footnote>
  <w:footnote w:type="continuationSeparator" w:id="0">
    <w:p w14:paraId="2430F427" w14:textId="77777777" w:rsidR="00E608EC" w:rsidRDefault="00E60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2915" w14:textId="77777777" w:rsidR="006262BA" w:rsidRDefault="006262BA" w:rsidP="006262BA">
    <w:pPr>
      <w:pStyle w:val="Encabezado"/>
      <w:pBdr>
        <w:bottom w:val="thickThinSmallGap" w:sz="24" w:space="1" w:color="622423"/>
      </w:pBdr>
      <w:jc w:val="center"/>
      <w:rPr>
        <w:color w:val="808080"/>
        <w:sz w:val="20"/>
        <w:lang w:val="es-ES"/>
      </w:rPr>
    </w:pPr>
    <w:r>
      <w:rPr>
        <w:color w:val="808080"/>
        <w:sz w:val="20"/>
        <w:lang w:val="es-ES"/>
      </w:rPr>
      <w:t>I</w:t>
    </w:r>
    <w:r w:rsidRPr="00FA3F37">
      <w:rPr>
        <w:color w:val="808080"/>
        <w:sz w:val="20"/>
        <w:lang w:val="es-ES"/>
      </w:rPr>
      <w:t xml:space="preserve"> Jornada Científica de </w:t>
    </w:r>
    <w:r>
      <w:rPr>
        <w:color w:val="808080"/>
        <w:sz w:val="20"/>
        <w:lang w:val="es-ES"/>
      </w:rPr>
      <w:t xml:space="preserve">Higiene, Epidemiología y Microbiología </w:t>
    </w:r>
  </w:p>
  <w:p w14:paraId="53D8CB71" w14:textId="77777777" w:rsidR="006262BA" w:rsidRPr="001F4A7E" w:rsidRDefault="006262BA" w:rsidP="006262BA">
    <w:pPr>
      <w:pStyle w:val="Encabezado"/>
      <w:pBdr>
        <w:bottom w:val="thickThinSmallGap" w:sz="24" w:space="1" w:color="622423"/>
      </w:pBdr>
      <w:jc w:val="center"/>
      <w:rPr>
        <w:color w:val="808080"/>
        <w:sz w:val="20"/>
        <w:lang w:val="es-ES"/>
      </w:rPr>
    </w:pPr>
    <w:r>
      <w:rPr>
        <w:color w:val="808080"/>
        <w:sz w:val="20"/>
        <w:lang w:val="es-ES"/>
      </w:rPr>
      <w:t>La Habana 2025</w:t>
    </w:r>
  </w:p>
  <w:p w14:paraId="3F018C76" w14:textId="77777777" w:rsidR="009E6E21" w:rsidRPr="006262BA" w:rsidRDefault="009E6E21" w:rsidP="00C618B9">
    <w:pPr>
      <w:pStyle w:val="Encabezado"/>
      <w:rPr>
        <w:szCs w:val="22"/>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CE39" w14:textId="77777777" w:rsidR="009E6E21" w:rsidRDefault="006262BA" w:rsidP="006262BA">
    <w:pPr>
      <w:pStyle w:val="Encabezado"/>
      <w:pBdr>
        <w:bottom w:val="thickThinSmallGap" w:sz="24" w:space="1" w:color="622423"/>
      </w:pBdr>
      <w:jc w:val="center"/>
      <w:rPr>
        <w:color w:val="808080"/>
        <w:sz w:val="20"/>
        <w:lang w:val="es-ES"/>
      </w:rPr>
    </w:pPr>
    <w:r>
      <w:rPr>
        <w:color w:val="808080"/>
        <w:sz w:val="20"/>
        <w:lang w:val="es-ES"/>
      </w:rPr>
      <w:t>I</w:t>
    </w:r>
    <w:r w:rsidR="009E6E21" w:rsidRPr="00FA3F37">
      <w:rPr>
        <w:color w:val="808080"/>
        <w:sz w:val="20"/>
        <w:lang w:val="es-ES"/>
      </w:rPr>
      <w:t xml:space="preserve"> Jornada </w:t>
    </w:r>
    <w:r w:rsidR="00780F58">
      <w:rPr>
        <w:color w:val="808080"/>
        <w:sz w:val="20"/>
        <w:lang w:val="es-ES"/>
      </w:rPr>
      <w:t>Virtual</w:t>
    </w:r>
    <w:r w:rsidR="009E6E21" w:rsidRPr="00FA3F37">
      <w:rPr>
        <w:color w:val="808080"/>
        <w:sz w:val="20"/>
        <w:lang w:val="es-ES"/>
      </w:rPr>
      <w:t xml:space="preserve"> de </w:t>
    </w:r>
    <w:r>
      <w:rPr>
        <w:color w:val="808080"/>
        <w:sz w:val="20"/>
        <w:lang w:val="es-ES"/>
      </w:rPr>
      <w:t xml:space="preserve">Higiene, Epidemiología y Microbiología </w:t>
    </w:r>
  </w:p>
  <w:p w14:paraId="3D7A1F6C" w14:textId="77777777" w:rsidR="006262BA" w:rsidRPr="001F4A7E" w:rsidRDefault="006262BA" w:rsidP="006262BA">
    <w:pPr>
      <w:pStyle w:val="Encabezado"/>
      <w:pBdr>
        <w:bottom w:val="thickThinSmallGap" w:sz="24" w:space="1" w:color="622423"/>
      </w:pBdr>
      <w:jc w:val="center"/>
      <w:rPr>
        <w:color w:val="808080"/>
        <w:sz w:val="20"/>
        <w:lang w:val="es-ES"/>
      </w:rPr>
    </w:pPr>
    <w:r>
      <w:rPr>
        <w:color w:val="808080"/>
        <w:sz w:val="20"/>
        <w:lang w:val="es-ES"/>
      </w:rPr>
      <w:t>La Habana 2025</w:t>
    </w:r>
  </w:p>
  <w:p w14:paraId="11144D5A" w14:textId="77777777" w:rsidR="009E6E21" w:rsidRPr="006262BA" w:rsidRDefault="00564952" w:rsidP="00564952">
    <w:pPr>
      <w:pStyle w:val="Encabezado"/>
      <w:tabs>
        <w:tab w:val="clear" w:pos="10036"/>
        <w:tab w:val="left" w:pos="6143"/>
      </w:tabs>
      <w:rPr>
        <w:szCs w:val="22"/>
        <w:lang w:val="es-ES"/>
      </w:rPr>
    </w:pPr>
    <w:r>
      <w:rPr>
        <w:szCs w:val="22"/>
        <w:lang w:val="es-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B46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220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68C3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7639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625D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A2E8C"/>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C661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2D6FF8"/>
    <w:multiLevelType w:val="hybridMultilevel"/>
    <w:tmpl w:val="AFC81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1C21C7"/>
    <w:multiLevelType w:val="multilevel"/>
    <w:tmpl w:val="CD581F76"/>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7" w15:restartNumberingAfterBreak="0">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8" w15:restartNumberingAfterBreak="0">
    <w:nsid w:val="14B22E51"/>
    <w:multiLevelType w:val="hybridMultilevel"/>
    <w:tmpl w:val="39B2E8B0"/>
    <w:lvl w:ilvl="0" w:tplc="080A000F">
      <w:start w:val="1"/>
      <w:numFmt w:val="decimal"/>
      <w:lvlText w:val="%1."/>
      <w:lvlJc w:val="left"/>
      <w:pPr>
        <w:ind w:left="947" w:hanging="360"/>
      </w:pPr>
    </w:lvl>
    <w:lvl w:ilvl="1" w:tplc="080A0019" w:tentative="1">
      <w:start w:val="1"/>
      <w:numFmt w:val="lowerLetter"/>
      <w:lvlText w:val="%2."/>
      <w:lvlJc w:val="left"/>
      <w:pPr>
        <w:ind w:left="1667" w:hanging="360"/>
      </w:pPr>
    </w:lvl>
    <w:lvl w:ilvl="2" w:tplc="080A001B" w:tentative="1">
      <w:start w:val="1"/>
      <w:numFmt w:val="lowerRoman"/>
      <w:lvlText w:val="%3."/>
      <w:lvlJc w:val="right"/>
      <w:pPr>
        <w:ind w:left="2387" w:hanging="180"/>
      </w:pPr>
    </w:lvl>
    <w:lvl w:ilvl="3" w:tplc="080A000F" w:tentative="1">
      <w:start w:val="1"/>
      <w:numFmt w:val="decimal"/>
      <w:lvlText w:val="%4."/>
      <w:lvlJc w:val="left"/>
      <w:pPr>
        <w:ind w:left="3107" w:hanging="360"/>
      </w:pPr>
    </w:lvl>
    <w:lvl w:ilvl="4" w:tplc="080A0019" w:tentative="1">
      <w:start w:val="1"/>
      <w:numFmt w:val="lowerLetter"/>
      <w:lvlText w:val="%5."/>
      <w:lvlJc w:val="left"/>
      <w:pPr>
        <w:ind w:left="3827" w:hanging="360"/>
      </w:pPr>
    </w:lvl>
    <w:lvl w:ilvl="5" w:tplc="080A001B" w:tentative="1">
      <w:start w:val="1"/>
      <w:numFmt w:val="lowerRoman"/>
      <w:lvlText w:val="%6."/>
      <w:lvlJc w:val="right"/>
      <w:pPr>
        <w:ind w:left="4547" w:hanging="180"/>
      </w:pPr>
    </w:lvl>
    <w:lvl w:ilvl="6" w:tplc="080A000F" w:tentative="1">
      <w:start w:val="1"/>
      <w:numFmt w:val="decimal"/>
      <w:lvlText w:val="%7."/>
      <w:lvlJc w:val="left"/>
      <w:pPr>
        <w:ind w:left="5267" w:hanging="360"/>
      </w:pPr>
    </w:lvl>
    <w:lvl w:ilvl="7" w:tplc="080A0019" w:tentative="1">
      <w:start w:val="1"/>
      <w:numFmt w:val="lowerLetter"/>
      <w:lvlText w:val="%8."/>
      <w:lvlJc w:val="left"/>
      <w:pPr>
        <w:ind w:left="5987" w:hanging="360"/>
      </w:pPr>
    </w:lvl>
    <w:lvl w:ilvl="8" w:tplc="080A001B" w:tentative="1">
      <w:start w:val="1"/>
      <w:numFmt w:val="lowerRoman"/>
      <w:lvlText w:val="%9."/>
      <w:lvlJc w:val="right"/>
      <w:pPr>
        <w:ind w:left="6707" w:hanging="180"/>
      </w:pPr>
    </w:lvl>
  </w:abstractNum>
  <w:abstractNum w:abstractNumId="19" w15:restartNumberingAfterBreak="0">
    <w:nsid w:val="1A5E508F"/>
    <w:multiLevelType w:val="hybridMultilevel"/>
    <w:tmpl w:val="D9029ED8"/>
    <w:lvl w:ilvl="0" w:tplc="1DB867BA">
      <w:numFmt w:val="bullet"/>
      <w:lvlText w:val="•"/>
      <w:lvlJc w:val="left"/>
      <w:pPr>
        <w:ind w:left="587" w:hanging="360"/>
      </w:pPr>
      <w:rPr>
        <w:rFonts w:ascii="Times New Roman" w:eastAsia="Batang" w:hAnsi="Times New Roman" w:cs="Times New Roman" w:hint="default"/>
      </w:rPr>
    </w:lvl>
    <w:lvl w:ilvl="1" w:tplc="080A0003" w:tentative="1">
      <w:start w:val="1"/>
      <w:numFmt w:val="bullet"/>
      <w:lvlText w:val="o"/>
      <w:lvlJc w:val="left"/>
      <w:pPr>
        <w:ind w:left="1307" w:hanging="360"/>
      </w:pPr>
      <w:rPr>
        <w:rFonts w:ascii="Courier New" w:hAnsi="Courier New" w:cs="Courier New" w:hint="default"/>
      </w:rPr>
    </w:lvl>
    <w:lvl w:ilvl="2" w:tplc="080A0005" w:tentative="1">
      <w:start w:val="1"/>
      <w:numFmt w:val="bullet"/>
      <w:lvlText w:val=""/>
      <w:lvlJc w:val="left"/>
      <w:pPr>
        <w:ind w:left="2027" w:hanging="360"/>
      </w:pPr>
      <w:rPr>
        <w:rFonts w:ascii="Wingdings" w:hAnsi="Wingdings" w:hint="default"/>
      </w:rPr>
    </w:lvl>
    <w:lvl w:ilvl="3" w:tplc="080A0001" w:tentative="1">
      <w:start w:val="1"/>
      <w:numFmt w:val="bullet"/>
      <w:lvlText w:val=""/>
      <w:lvlJc w:val="left"/>
      <w:pPr>
        <w:ind w:left="2747" w:hanging="360"/>
      </w:pPr>
      <w:rPr>
        <w:rFonts w:ascii="Symbol" w:hAnsi="Symbol" w:hint="default"/>
      </w:rPr>
    </w:lvl>
    <w:lvl w:ilvl="4" w:tplc="080A0003" w:tentative="1">
      <w:start w:val="1"/>
      <w:numFmt w:val="bullet"/>
      <w:lvlText w:val="o"/>
      <w:lvlJc w:val="left"/>
      <w:pPr>
        <w:ind w:left="3467" w:hanging="360"/>
      </w:pPr>
      <w:rPr>
        <w:rFonts w:ascii="Courier New" w:hAnsi="Courier New" w:cs="Courier New" w:hint="default"/>
      </w:rPr>
    </w:lvl>
    <w:lvl w:ilvl="5" w:tplc="080A0005" w:tentative="1">
      <w:start w:val="1"/>
      <w:numFmt w:val="bullet"/>
      <w:lvlText w:val=""/>
      <w:lvlJc w:val="left"/>
      <w:pPr>
        <w:ind w:left="4187" w:hanging="360"/>
      </w:pPr>
      <w:rPr>
        <w:rFonts w:ascii="Wingdings" w:hAnsi="Wingdings" w:hint="default"/>
      </w:rPr>
    </w:lvl>
    <w:lvl w:ilvl="6" w:tplc="080A0001" w:tentative="1">
      <w:start w:val="1"/>
      <w:numFmt w:val="bullet"/>
      <w:lvlText w:val=""/>
      <w:lvlJc w:val="left"/>
      <w:pPr>
        <w:ind w:left="4907" w:hanging="360"/>
      </w:pPr>
      <w:rPr>
        <w:rFonts w:ascii="Symbol" w:hAnsi="Symbol" w:hint="default"/>
      </w:rPr>
    </w:lvl>
    <w:lvl w:ilvl="7" w:tplc="080A0003" w:tentative="1">
      <w:start w:val="1"/>
      <w:numFmt w:val="bullet"/>
      <w:lvlText w:val="o"/>
      <w:lvlJc w:val="left"/>
      <w:pPr>
        <w:ind w:left="5627" w:hanging="360"/>
      </w:pPr>
      <w:rPr>
        <w:rFonts w:ascii="Courier New" w:hAnsi="Courier New" w:cs="Courier New" w:hint="default"/>
      </w:rPr>
    </w:lvl>
    <w:lvl w:ilvl="8" w:tplc="080A0005" w:tentative="1">
      <w:start w:val="1"/>
      <w:numFmt w:val="bullet"/>
      <w:lvlText w:val=""/>
      <w:lvlJc w:val="left"/>
      <w:pPr>
        <w:ind w:left="6347" w:hanging="360"/>
      </w:pPr>
      <w:rPr>
        <w:rFonts w:ascii="Wingdings" w:hAnsi="Wingdings" w:hint="default"/>
      </w:rPr>
    </w:lvl>
  </w:abstractNum>
  <w:abstractNum w:abstractNumId="20" w15:restartNumberingAfterBreak="0">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2" w15:restartNumberingAfterBreak="0">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3" w15:restartNumberingAfterBreak="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7" w15:restartNumberingAfterBreak="0">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0" w15:restartNumberingAfterBreak="0">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1" w15:restartNumberingAfterBreak="0">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3" w15:restartNumberingAfterBreak="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C647E41"/>
    <w:multiLevelType w:val="hybridMultilevel"/>
    <w:tmpl w:val="BAA85680"/>
    <w:lvl w:ilvl="0" w:tplc="558C73A4">
      <w:start w:val="1"/>
      <w:numFmt w:val="bullet"/>
      <w:lvlText w:val=""/>
      <w:lvlJc w:val="left"/>
      <w:pPr>
        <w:tabs>
          <w:tab w:val="num" w:pos="1790"/>
        </w:tabs>
        <w:ind w:left="1790" w:hanging="360"/>
      </w:pPr>
      <w:rPr>
        <w:rFonts w:ascii="Symbol" w:hAnsi="Symbol" w:hint="default"/>
        <w:sz w:val="20"/>
      </w:rPr>
    </w:lvl>
    <w:lvl w:ilvl="1" w:tplc="A0B24EC4">
      <w:start w:val="1"/>
      <w:numFmt w:val="bullet"/>
      <w:lvlText w:val=""/>
      <w:lvlJc w:val="left"/>
      <w:pPr>
        <w:tabs>
          <w:tab w:val="num" w:pos="2700"/>
        </w:tabs>
        <w:ind w:left="2700" w:hanging="1282"/>
      </w:pPr>
      <w:rPr>
        <w:rFonts w:ascii="Symbol" w:hAnsi="Symbol"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36" w15:restartNumberingAfterBreak="0">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50051182">
    <w:abstractNumId w:val="13"/>
  </w:num>
  <w:num w:numId="2" w16cid:durableId="64498699">
    <w:abstractNumId w:val="26"/>
  </w:num>
  <w:num w:numId="3" w16cid:durableId="734397481">
    <w:abstractNumId w:val="24"/>
  </w:num>
  <w:num w:numId="4" w16cid:durableId="1798638967">
    <w:abstractNumId w:val="22"/>
  </w:num>
  <w:num w:numId="5" w16cid:durableId="1109468538">
    <w:abstractNumId w:val="20"/>
  </w:num>
  <w:num w:numId="6" w16cid:durableId="1024749172">
    <w:abstractNumId w:val="39"/>
  </w:num>
  <w:num w:numId="7" w16cid:durableId="1702363146">
    <w:abstractNumId w:val="38"/>
  </w:num>
  <w:num w:numId="8" w16cid:durableId="961619964">
    <w:abstractNumId w:val="16"/>
  </w:num>
  <w:num w:numId="9" w16cid:durableId="1833913555">
    <w:abstractNumId w:val="17"/>
  </w:num>
  <w:num w:numId="10" w16cid:durableId="523789238">
    <w:abstractNumId w:val="30"/>
  </w:num>
  <w:num w:numId="11" w16cid:durableId="133257065">
    <w:abstractNumId w:val="21"/>
  </w:num>
  <w:num w:numId="12" w16cid:durableId="1408459544">
    <w:abstractNumId w:val="32"/>
  </w:num>
  <w:num w:numId="13" w16cid:durableId="1898778807">
    <w:abstractNumId w:val="4"/>
  </w:num>
  <w:num w:numId="14" w16cid:durableId="739254136">
    <w:abstractNumId w:val="6"/>
  </w:num>
  <w:num w:numId="15" w16cid:durableId="932783514">
    <w:abstractNumId w:val="5"/>
  </w:num>
  <w:num w:numId="16" w16cid:durableId="78526381">
    <w:abstractNumId w:val="9"/>
  </w:num>
  <w:num w:numId="17" w16cid:durableId="1422408912">
    <w:abstractNumId w:val="7"/>
  </w:num>
  <w:num w:numId="18" w16cid:durableId="1482576115">
    <w:abstractNumId w:val="8"/>
  </w:num>
  <w:num w:numId="19" w16cid:durableId="1197542285">
    <w:abstractNumId w:val="3"/>
  </w:num>
  <w:num w:numId="20" w16cid:durableId="1668821271">
    <w:abstractNumId w:val="2"/>
  </w:num>
  <w:num w:numId="21" w16cid:durableId="166986838">
    <w:abstractNumId w:val="1"/>
  </w:num>
  <w:num w:numId="22" w16cid:durableId="2003897486">
    <w:abstractNumId w:val="0"/>
  </w:num>
  <w:num w:numId="23" w16cid:durableId="1510094046">
    <w:abstractNumId w:val="23"/>
  </w:num>
  <w:num w:numId="24" w16cid:durableId="2086226049">
    <w:abstractNumId w:val="27"/>
  </w:num>
  <w:num w:numId="25" w16cid:durableId="1226991286">
    <w:abstractNumId w:val="12"/>
  </w:num>
  <w:num w:numId="26" w16cid:durableId="803037935">
    <w:abstractNumId w:val="28"/>
  </w:num>
  <w:num w:numId="27" w16cid:durableId="1309480045">
    <w:abstractNumId w:val="36"/>
  </w:num>
  <w:num w:numId="28" w16cid:durableId="364797766">
    <w:abstractNumId w:val="10"/>
  </w:num>
  <w:num w:numId="29" w16cid:durableId="2019694898">
    <w:abstractNumId w:val="37"/>
  </w:num>
  <w:num w:numId="30" w16cid:durableId="1360351922">
    <w:abstractNumId w:val="34"/>
  </w:num>
  <w:num w:numId="31" w16cid:durableId="1246377547">
    <w:abstractNumId w:val="15"/>
  </w:num>
  <w:num w:numId="32" w16cid:durableId="1177500067">
    <w:abstractNumId w:val="14"/>
  </w:num>
  <w:num w:numId="33" w16cid:durableId="102001009">
    <w:abstractNumId w:val="33"/>
  </w:num>
  <w:num w:numId="34" w16cid:durableId="429283338">
    <w:abstractNumId w:val="31"/>
  </w:num>
  <w:num w:numId="35" w16cid:durableId="1365667793">
    <w:abstractNumId w:val="25"/>
  </w:num>
  <w:num w:numId="36" w16cid:durableId="46732415">
    <w:abstractNumId w:val="29"/>
  </w:num>
  <w:num w:numId="37" w16cid:durableId="1414014076">
    <w:abstractNumId w:val="35"/>
  </w:num>
  <w:num w:numId="38" w16cid:durableId="224030230">
    <w:abstractNumId w:val="11"/>
  </w:num>
  <w:num w:numId="39" w16cid:durableId="1283999395">
    <w:abstractNumId w:val="18"/>
  </w:num>
  <w:num w:numId="40" w16cid:durableId="18855543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ko-KR" w:vendorID="64" w:dllVersion="5" w:nlCheck="1" w:checkStyle="1"/>
  <w:activeWritingStyle w:appName="MSWord" w:lang="es-VE" w:vendorID="64" w:dllVersion="6" w:nlCheck="1" w:checkStyle="1"/>
  <w:activeWritingStyle w:appName="MSWord" w:lang="es-ES" w:vendorID="64" w:dllVersion="6" w:nlCheck="1" w:checkStyle="1"/>
  <w:activeWritingStyle w:appName="MSWord" w:lang="es-ES" w:vendorID="64" w:dllVersion="0" w:nlCheck="1" w:checkStyle="0"/>
  <w:activeWritingStyle w:appName="MSWord" w:lang="es-VE" w:vendorID="64" w:dllVersion="0" w:nlCheck="1" w:checkStyle="0"/>
  <w:activeWritingStyle w:appName="MSWord" w:lang="en-US" w:vendorID="64" w:dllVersion="0" w:nlCheck="1" w:checkStyle="0"/>
  <w:activeWritingStyle w:appName="MSWord" w:lang="es-MX"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09"/>
    <w:rsid w:val="00000C92"/>
    <w:rsid w:val="0000144B"/>
    <w:rsid w:val="00003A16"/>
    <w:rsid w:val="00003ABA"/>
    <w:rsid w:val="000159D7"/>
    <w:rsid w:val="00025EA6"/>
    <w:rsid w:val="00032822"/>
    <w:rsid w:val="000350F0"/>
    <w:rsid w:val="00052F05"/>
    <w:rsid w:val="0005617D"/>
    <w:rsid w:val="0006445C"/>
    <w:rsid w:val="000677AF"/>
    <w:rsid w:val="00082429"/>
    <w:rsid w:val="00090BF7"/>
    <w:rsid w:val="000A10D9"/>
    <w:rsid w:val="000A677E"/>
    <w:rsid w:val="000D2C21"/>
    <w:rsid w:val="000D3E30"/>
    <w:rsid w:val="000D3FDC"/>
    <w:rsid w:val="000D5476"/>
    <w:rsid w:val="000E5A95"/>
    <w:rsid w:val="001328B2"/>
    <w:rsid w:val="00134483"/>
    <w:rsid w:val="0013720E"/>
    <w:rsid w:val="0014537F"/>
    <w:rsid w:val="00155E1B"/>
    <w:rsid w:val="00156A5B"/>
    <w:rsid w:val="001632E4"/>
    <w:rsid w:val="00167877"/>
    <w:rsid w:val="00170F2A"/>
    <w:rsid w:val="00174757"/>
    <w:rsid w:val="0018160E"/>
    <w:rsid w:val="001859E1"/>
    <w:rsid w:val="00193108"/>
    <w:rsid w:val="001A315B"/>
    <w:rsid w:val="001A42AB"/>
    <w:rsid w:val="001D6484"/>
    <w:rsid w:val="001E0DA6"/>
    <w:rsid w:val="00204D92"/>
    <w:rsid w:val="00222C46"/>
    <w:rsid w:val="00250157"/>
    <w:rsid w:val="00261997"/>
    <w:rsid w:val="00264651"/>
    <w:rsid w:val="00266E9A"/>
    <w:rsid w:val="00270E39"/>
    <w:rsid w:val="0027245D"/>
    <w:rsid w:val="0027322E"/>
    <w:rsid w:val="00277656"/>
    <w:rsid w:val="0029457B"/>
    <w:rsid w:val="002A6750"/>
    <w:rsid w:val="002B5593"/>
    <w:rsid w:val="002C02E6"/>
    <w:rsid w:val="002D7C10"/>
    <w:rsid w:val="002E4BAC"/>
    <w:rsid w:val="0030399B"/>
    <w:rsid w:val="00316BBF"/>
    <w:rsid w:val="003342AD"/>
    <w:rsid w:val="00337878"/>
    <w:rsid w:val="00386F65"/>
    <w:rsid w:val="0039726B"/>
    <w:rsid w:val="003A0FAA"/>
    <w:rsid w:val="003B4875"/>
    <w:rsid w:val="003C7F73"/>
    <w:rsid w:val="003D274F"/>
    <w:rsid w:val="003E40FA"/>
    <w:rsid w:val="003E7291"/>
    <w:rsid w:val="003F5B60"/>
    <w:rsid w:val="004140B0"/>
    <w:rsid w:val="004231AF"/>
    <w:rsid w:val="00454DEB"/>
    <w:rsid w:val="00465B59"/>
    <w:rsid w:val="00467A09"/>
    <w:rsid w:val="0049529E"/>
    <w:rsid w:val="004A5B27"/>
    <w:rsid w:val="004B04C8"/>
    <w:rsid w:val="004B1873"/>
    <w:rsid w:val="004E3826"/>
    <w:rsid w:val="004E67B3"/>
    <w:rsid w:val="004F2A7B"/>
    <w:rsid w:val="00500E51"/>
    <w:rsid w:val="00511A2B"/>
    <w:rsid w:val="005142E6"/>
    <w:rsid w:val="00525986"/>
    <w:rsid w:val="00537C6F"/>
    <w:rsid w:val="005429EF"/>
    <w:rsid w:val="00544AED"/>
    <w:rsid w:val="00562DA4"/>
    <w:rsid w:val="00564952"/>
    <w:rsid w:val="00575744"/>
    <w:rsid w:val="00576903"/>
    <w:rsid w:val="005817C0"/>
    <w:rsid w:val="00585314"/>
    <w:rsid w:val="00586ED2"/>
    <w:rsid w:val="0059252B"/>
    <w:rsid w:val="00593002"/>
    <w:rsid w:val="00597BF1"/>
    <w:rsid w:val="005B251F"/>
    <w:rsid w:val="005C529C"/>
    <w:rsid w:val="005D0036"/>
    <w:rsid w:val="005E1542"/>
    <w:rsid w:val="005E62B8"/>
    <w:rsid w:val="006006CA"/>
    <w:rsid w:val="00603F00"/>
    <w:rsid w:val="006078E5"/>
    <w:rsid w:val="006262BA"/>
    <w:rsid w:val="00633B25"/>
    <w:rsid w:val="00643E4C"/>
    <w:rsid w:val="00654078"/>
    <w:rsid w:val="00660CD1"/>
    <w:rsid w:val="00686401"/>
    <w:rsid w:val="00694315"/>
    <w:rsid w:val="00696417"/>
    <w:rsid w:val="006B13DC"/>
    <w:rsid w:val="006B21EC"/>
    <w:rsid w:val="006B4600"/>
    <w:rsid w:val="006B7E5B"/>
    <w:rsid w:val="006C038C"/>
    <w:rsid w:val="007076F6"/>
    <w:rsid w:val="0073299A"/>
    <w:rsid w:val="0075442D"/>
    <w:rsid w:val="00755206"/>
    <w:rsid w:val="0075620A"/>
    <w:rsid w:val="0076227D"/>
    <w:rsid w:val="00770E94"/>
    <w:rsid w:val="00780F58"/>
    <w:rsid w:val="00792B34"/>
    <w:rsid w:val="007C7F27"/>
    <w:rsid w:val="007D1ED3"/>
    <w:rsid w:val="007D600E"/>
    <w:rsid w:val="007D7337"/>
    <w:rsid w:val="00806900"/>
    <w:rsid w:val="00815B94"/>
    <w:rsid w:val="008305B7"/>
    <w:rsid w:val="00845FF1"/>
    <w:rsid w:val="008662CE"/>
    <w:rsid w:val="0089580E"/>
    <w:rsid w:val="008B0F3A"/>
    <w:rsid w:val="008B52DB"/>
    <w:rsid w:val="008C7DC5"/>
    <w:rsid w:val="008D4C40"/>
    <w:rsid w:val="008F1AD0"/>
    <w:rsid w:val="0091392B"/>
    <w:rsid w:val="009372AA"/>
    <w:rsid w:val="00947E50"/>
    <w:rsid w:val="00952CA1"/>
    <w:rsid w:val="00953915"/>
    <w:rsid w:val="00955385"/>
    <w:rsid w:val="00967D51"/>
    <w:rsid w:val="00970E54"/>
    <w:rsid w:val="00974A7C"/>
    <w:rsid w:val="00975AA1"/>
    <w:rsid w:val="00981748"/>
    <w:rsid w:val="009B3182"/>
    <w:rsid w:val="009B6AE5"/>
    <w:rsid w:val="009D71E7"/>
    <w:rsid w:val="009E6E21"/>
    <w:rsid w:val="009F6AB6"/>
    <w:rsid w:val="00A03B79"/>
    <w:rsid w:val="00A06E13"/>
    <w:rsid w:val="00A139AF"/>
    <w:rsid w:val="00A53E81"/>
    <w:rsid w:val="00A612A8"/>
    <w:rsid w:val="00A70650"/>
    <w:rsid w:val="00A7724F"/>
    <w:rsid w:val="00A81B3A"/>
    <w:rsid w:val="00A877CC"/>
    <w:rsid w:val="00A92DF5"/>
    <w:rsid w:val="00AA3821"/>
    <w:rsid w:val="00AC53C8"/>
    <w:rsid w:val="00AF4BC1"/>
    <w:rsid w:val="00B05E2C"/>
    <w:rsid w:val="00B24CC3"/>
    <w:rsid w:val="00B357FA"/>
    <w:rsid w:val="00B56A17"/>
    <w:rsid w:val="00B84EE1"/>
    <w:rsid w:val="00BB41B6"/>
    <w:rsid w:val="00BC07B1"/>
    <w:rsid w:val="00BC71DD"/>
    <w:rsid w:val="00BE734F"/>
    <w:rsid w:val="00BF3DED"/>
    <w:rsid w:val="00BF4D0B"/>
    <w:rsid w:val="00BF6C02"/>
    <w:rsid w:val="00BF6FAE"/>
    <w:rsid w:val="00C00B4B"/>
    <w:rsid w:val="00C02F2C"/>
    <w:rsid w:val="00C17365"/>
    <w:rsid w:val="00C27702"/>
    <w:rsid w:val="00C45C27"/>
    <w:rsid w:val="00C618B9"/>
    <w:rsid w:val="00CA0A85"/>
    <w:rsid w:val="00CA4CD7"/>
    <w:rsid w:val="00CE4D53"/>
    <w:rsid w:val="00D0013D"/>
    <w:rsid w:val="00D13C0A"/>
    <w:rsid w:val="00D32159"/>
    <w:rsid w:val="00D43735"/>
    <w:rsid w:val="00D56DD6"/>
    <w:rsid w:val="00D57035"/>
    <w:rsid w:val="00D64558"/>
    <w:rsid w:val="00D938F5"/>
    <w:rsid w:val="00DA18F2"/>
    <w:rsid w:val="00DA7DF9"/>
    <w:rsid w:val="00DB2C05"/>
    <w:rsid w:val="00DC0239"/>
    <w:rsid w:val="00DC3785"/>
    <w:rsid w:val="00DD12DB"/>
    <w:rsid w:val="00DF0D0F"/>
    <w:rsid w:val="00E23A41"/>
    <w:rsid w:val="00E33738"/>
    <w:rsid w:val="00E44B97"/>
    <w:rsid w:val="00E55E90"/>
    <w:rsid w:val="00E55EA3"/>
    <w:rsid w:val="00E5772A"/>
    <w:rsid w:val="00E608EC"/>
    <w:rsid w:val="00E6228E"/>
    <w:rsid w:val="00E62C6C"/>
    <w:rsid w:val="00E71337"/>
    <w:rsid w:val="00E75BCF"/>
    <w:rsid w:val="00E9280B"/>
    <w:rsid w:val="00EB04D8"/>
    <w:rsid w:val="00EB1194"/>
    <w:rsid w:val="00ED4FD6"/>
    <w:rsid w:val="00EE1B33"/>
    <w:rsid w:val="00EE311F"/>
    <w:rsid w:val="00EF222C"/>
    <w:rsid w:val="00EF237D"/>
    <w:rsid w:val="00EF34BF"/>
    <w:rsid w:val="00F13AB4"/>
    <w:rsid w:val="00F24F56"/>
    <w:rsid w:val="00F259BC"/>
    <w:rsid w:val="00F32A80"/>
    <w:rsid w:val="00F374FD"/>
    <w:rsid w:val="00FA3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05C7D"/>
  <w15:docId w15:val="{9EADF170-C36D-4EC8-800B-570EFCA6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340"/>
        <w:tab w:val="left" w:pos="680"/>
      </w:tabs>
      <w:ind w:firstLine="227"/>
      <w:jc w:val="both"/>
    </w:pPr>
    <w:rPr>
      <w:lang w:val="en-US" w:eastAsia="de-DE"/>
    </w:rPr>
  </w:style>
  <w:style w:type="paragraph" w:styleId="Ttulo1">
    <w:name w:val="heading 1"/>
    <w:basedOn w:val="Normal"/>
    <w:next w:val="Normal"/>
    <w:qFormat/>
    <w:pPr>
      <w:keepNext/>
      <w:keepLines/>
      <w:numPr>
        <w:numId w:val="8"/>
      </w:numPr>
      <w:suppressAutoHyphens/>
      <w:spacing w:before="400" w:after="200"/>
      <w:jc w:val="center"/>
      <w:outlineLvl w:val="0"/>
    </w:pPr>
    <w:rPr>
      <w:rFonts w:cs="Arial"/>
      <w:bCs/>
      <w:caps/>
      <w:kern w:val="32"/>
      <w:sz w:val="16"/>
      <w:szCs w:val="16"/>
    </w:rPr>
  </w:style>
  <w:style w:type="paragraph" w:styleId="Ttulo2">
    <w:name w:val="heading 2"/>
    <w:basedOn w:val="Ttulo1"/>
    <w:next w:val="Normal"/>
    <w:qFormat/>
    <w:pPr>
      <w:numPr>
        <w:ilvl w:val="1"/>
      </w:numPr>
      <w:spacing w:before="300" w:after="150"/>
      <w:jc w:val="left"/>
      <w:outlineLvl w:val="1"/>
    </w:pPr>
    <w:rPr>
      <w:bCs w:val="0"/>
      <w:i/>
      <w:iCs/>
      <w:caps w:val="0"/>
      <w:sz w:val="20"/>
      <w:szCs w:val="20"/>
    </w:rPr>
  </w:style>
  <w:style w:type="paragraph" w:styleId="Ttulo3">
    <w:name w:val="heading 3"/>
    <w:basedOn w:val="Ttulo2"/>
    <w:next w:val="Normal"/>
    <w:qFormat/>
    <w:pPr>
      <w:numPr>
        <w:ilvl w:val="0"/>
        <w:numId w:val="0"/>
      </w:numPr>
      <w:outlineLvl w:val="2"/>
    </w:pPr>
    <w:rPr>
      <w:bCs/>
      <w:szCs w:val="26"/>
    </w:rPr>
  </w:style>
  <w:style w:type="paragraph" w:styleId="Ttulo4">
    <w:name w:val="heading 4"/>
    <w:basedOn w:val="Ttulo3"/>
    <w:next w:val="Normal"/>
    <w:qFormat/>
    <w:pPr>
      <w:outlineLvl w:val="3"/>
    </w:pPr>
    <w:rPr>
      <w:bCs w:val="0"/>
      <w:szCs w:val="28"/>
    </w:rPr>
  </w:style>
  <w:style w:type="paragraph" w:styleId="Ttulo5">
    <w:name w:val="heading 5"/>
    <w:basedOn w:val="Ttulo3"/>
    <w:next w:val="Normal"/>
    <w:qFormat/>
    <w:pPr>
      <w:outlineLvl w:val="4"/>
    </w:pPr>
    <w:rPr>
      <w:bCs w:val="0"/>
      <w:iCs w:val="0"/>
    </w:rPr>
  </w:style>
  <w:style w:type="paragraph" w:styleId="Ttulo6">
    <w:name w:val="heading 6"/>
    <w:basedOn w:val="Ttulo3"/>
    <w:next w:val="Normal"/>
    <w:qFormat/>
    <w:pPr>
      <w:spacing w:before="240" w:after="60"/>
      <w:outlineLvl w:val="5"/>
    </w:pPr>
    <w:rPr>
      <w:bCs w:val="0"/>
      <w:szCs w:val="22"/>
    </w:rPr>
  </w:style>
  <w:style w:type="paragraph" w:styleId="Ttulo7">
    <w:name w:val="heading 7"/>
    <w:basedOn w:val="Ttulo3"/>
    <w:next w:val="Normal"/>
    <w:qFormat/>
    <w:pPr>
      <w:spacing w:before="240" w:after="60"/>
      <w:outlineLvl w:val="6"/>
    </w:pPr>
    <w:rPr>
      <w:szCs w:val="24"/>
    </w:rPr>
  </w:style>
  <w:style w:type="paragraph" w:styleId="Ttulo8">
    <w:name w:val="heading 8"/>
    <w:basedOn w:val="Ttulo3"/>
    <w:next w:val="Normal"/>
    <w:qFormat/>
    <w:pPr>
      <w:outlineLvl w:val="7"/>
    </w:pPr>
    <w:rPr>
      <w:iCs w:val="0"/>
      <w:szCs w:val="24"/>
    </w:rPr>
  </w:style>
  <w:style w:type="paragraph" w:styleId="Ttulo9">
    <w:name w:val="heading 9"/>
    <w:basedOn w:val="Ttulo3"/>
    <w:next w:val="Normal"/>
    <w:qFormat/>
    <w:pPr>
      <w:outlineLvl w:val="8"/>
    </w:pPr>
    <w:rPr>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pPr>
      <w:widowControl w:val="0"/>
      <w:spacing w:after="200"/>
      <w:ind w:firstLine="227"/>
      <w:contextualSpacing/>
      <w:jc w:val="both"/>
    </w:pPr>
    <w:rPr>
      <w:b/>
      <w:sz w:val="18"/>
      <w:szCs w:val="18"/>
      <w:lang w:val="en-US" w:eastAsia="de-DE"/>
    </w:rPr>
  </w:style>
  <w:style w:type="paragraph" w:customStyle="1" w:styleId="keywords">
    <w:name w:val="keywords"/>
    <w:next w:val="Normal"/>
    <w:pPr>
      <w:spacing w:after="400"/>
      <w:ind w:firstLine="227"/>
      <w:contextualSpacing/>
      <w:jc w:val="both"/>
    </w:pPr>
    <w:rPr>
      <w:b/>
      <w:sz w:val="18"/>
      <w:szCs w:val="18"/>
      <w:lang w:val="en-US" w:eastAsia="de-DE"/>
    </w:rPr>
  </w:style>
  <w:style w:type="character" w:styleId="Hipervnculovisitado">
    <w:name w:val="FollowedHyperlink"/>
    <w:rPr>
      <w:color w:val="auto"/>
      <w:u w:val="none"/>
    </w:rPr>
  </w:style>
  <w:style w:type="paragraph" w:customStyle="1" w:styleId="authorinfo">
    <w:name w:val="authorinfo"/>
    <w:pPr>
      <w:widowControl w:val="0"/>
      <w:spacing w:after="400"/>
      <w:contextualSpacing/>
      <w:jc w:val="center"/>
    </w:pPr>
    <w:rPr>
      <w:sz w:val="18"/>
      <w:lang w:val="en-US" w:eastAsia="de-DE"/>
    </w:rPr>
  </w:style>
  <w:style w:type="paragraph" w:customStyle="1" w:styleId="figure">
    <w:name w:val="figure"/>
    <w:basedOn w:val="Normal"/>
    <w:next w:val="figlegend"/>
    <w:pPr>
      <w:keepNext/>
      <w:keepLines/>
      <w:spacing w:before="300" w:after="100"/>
      <w:ind w:firstLine="0"/>
      <w:jc w:val="center"/>
    </w:pPr>
    <w:rPr>
      <w:sz w:val="16"/>
    </w:rPr>
  </w:style>
  <w:style w:type="paragraph" w:customStyle="1" w:styleId="figlegend">
    <w:name w:val="figlegend"/>
    <w:next w:val="Normal"/>
    <w:pPr>
      <w:keepLines/>
      <w:spacing w:before="100" w:after="300"/>
      <w:contextualSpacing/>
      <w:jc w:val="center"/>
    </w:pPr>
    <w:rPr>
      <w:snapToGrid w:val="0"/>
      <w:sz w:val="16"/>
      <w:szCs w:val="16"/>
      <w:lang w:val="en-US" w:eastAsia="en-US"/>
    </w:rPr>
  </w:style>
  <w:style w:type="paragraph" w:customStyle="1" w:styleId="referenceavailable">
    <w:name w:val="reference_available"/>
    <w:basedOn w:val="Normal"/>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pPr>
      <w:suppressAutoHyphens/>
      <w:spacing w:after="200"/>
      <w:contextualSpacing/>
      <w:jc w:val="center"/>
    </w:pPr>
    <w:rPr>
      <w:sz w:val="24"/>
      <w:szCs w:val="24"/>
      <w:lang w:val="en-US" w:eastAsia="de-DE"/>
    </w:rPr>
  </w:style>
  <w:style w:type="paragraph" w:customStyle="1" w:styleId="heading1">
    <w:name w:val="heading1"/>
    <w:basedOn w:val="Ttulo1"/>
    <w:next w:val="Normal"/>
    <w:rPr>
      <w:snapToGrid w:val="0"/>
      <w:lang w:eastAsia="en-US"/>
    </w:rPr>
  </w:style>
  <w:style w:type="paragraph" w:customStyle="1" w:styleId="heading2">
    <w:name w:val="heading2"/>
    <w:basedOn w:val="Ttulo2"/>
    <w:next w:val="Normal"/>
  </w:style>
  <w:style w:type="paragraph" w:customStyle="1" w:styleId="heading2heading1">
    <w:name w:val="heading2_heading1"/>
    <w:basedOn w:val="heading2"/>
    <w:pPr>
      <w:spacing w:before="0"/>
    </w:pPr>
  </w:style>
  <w:style w:type="character" w:styleId="Hipervnculo">
    <w:name w:val="Hyperlink"/>
    <w:rPr>
      <w:color w:val="auto"/>
      <w:u w:val="none"/>
    </w:rPr>
  </w:style>
  <w:style w:type="paragraph" w:customStyle="1" w:styleId="Ttulo10">
    <w:name w:val="Título1"/>
    <w:next w:val="author"/>
    <w:pPr>
      <w:keepLines/>
      <w:suppressAutoHyphens/>
      <w:spacing w:after="160"/>
      <w:contextualSpacing/>
      <w:jc w:val="center"/>
    </w:pPr>
    <w:rPr>
      <w:b/>
      <w:sz w:val="28"/>
      <w:szCs w:val="28"/>
      <w:lang w:val="en-US" w:eastAsia="de-DE"/>
    </w:rPr>
  </w:style>
  <w:style w:type="character" w:customStyle="1" w:styleId="italic">
    <w:name w:val="italic"/>
    <w:rPr>
      <w:i/>
      <w:iCs/>
    </w:rPr>
  </w:style>
  <w:style w:type="character" w:customStyle="1" w:styleId="initial12">
    <w:name w:val="initial_12"/>
    <w:rPr>
      <w:sz w:val="24"/>
      <w:szCs w:val="24"/>
    </w:rPr>
  </w:style>
  <w:style w:type="paragraph" w:styleId="Saludo">
    <w:name w:val="Salutation"/>
    <w:basedOn w:val="Normal"/>
    <w:next w:val="Normal"/>
  </w:style>
  <w:style w:type="paragraph" w:customStyle="1" w:styleId="tablelegend">
    <w:name w:val="tablelegend"/>
    <w:basedOn w:val="Normal"/>
    <w:pPr>
      <w:keepNext/>
      <w:keepLines/>
      <w:suppressAutoHyphens/>
      <w:spacing w:before="300" w:after="100"/>
      <w:ind w:firstLine="0"/>
      <w:contextualSpacing/>
      <w:jc w:val="center"/>
    </w:pPr>
    <w:rPr>
      <w:sz w:val="16"/>
      <w:szCs w:val="16"/>
    </w:rPr>
  </w:style>
  <w:style w:type="character" w:customStyle="1" w:styleId="initial10">
    <w:name w:val="initial_10"/>
    <w:rPr>
      <w:sz w:val="20"/>
      <w:szCs w:val="20"/>
      <w:lang w:eastAsia="en-US"/>
    </w:rPr>
  </w:style>
  <w:style w:type="character" w:customStyle="1" w:styleId="bold">
    <w:name w:val="bold"/>
    <w:rPr>
      <w:b/>
    </w:rPr>
  </w:style>
  <w:style w:type="character" w:customStyle="1" w:styleId="initial8">
    <w:name w:val="initial_8"/>
    <w:rPr>
      <w:caps/>
      <w:sz w:val="16"/>
      <w:szCs w:val="16"/>
      <w:lang w:eastAsia="en-US"/>
    </w:rPr>
  </w:style>
  <w:style w:type="paragraph" w:customStyle="1" w:styleId="heading1withoutNr">
    <w:name w:val="heading1_withoutNr"/>
    <w:basedOn w:val="heading1"/>
    <w:next w:val="referenceItem"/>
    <w:pPr>
      <w:numPr>
        <w:numId w:val="0"/>
      </w:numPr>
      <w:spacing w:before="360" w:after="180"/>
    </w:pPr>
  </w:style>
  <w:style w:type="paragraph" w:customStyle="1" w:styleId="referenceItem">
    <w:name w:val="reference_Item"/>
    <w:basedOn w:val="Normal"/>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pPr>
      <w:ind w:firstLine="0"/>
      <w:jc w:val="left"/>
    </w:pPr>
    <w:rPr>
      <w:snapToGrid w:val="0"/>
      <w:sz w:val="16"/>
      <w:lang w:eastAsia="en-US"/>
    </w:rPr>
  </w:style>
  <w:style w:type="paragraph" w:customStyle="1" w:styleId="tabletextcentre">
    <w:name w:val="table_text_centre"/>
    <w:basedOn w:val="tabletext"/>
    <w:pPr>
      <w:jc w:val="center"/>
    </w:pPr>
  </w:style>
  <w:style w:type="paragraph" w:customStyle="1" w:styleId="tabletextright">
    <w:name w:val="table_text_right"/>
    <w:basedOn w:val="tabletext"/>
    <w:pPr>
      <w:jc w:val="right"/>
    </w:pPr>
  </w:style>
  <w:style w:type="paragraph" w:styleId="Listaconvietas">
    <w:name w:val="List Bullet"/>
    <w:basedOn w:val="Normal"/>
    <w:pPr>
      <w:tabs>
        <w:tab w:val="clear" w:pos="340"/>
        <w:tab w:val="num" w:pos="360"/>
      </w:tabs>
      <w:ind w:left="360" w:hanging="360"/>
    </w:pPr>
  </w:style>
  <w:style w:type="character" w:customStyle="1" w:styleId="AufzhlungszeichenZchn1">
    <w:name w:val="Aufzählungszeichen Zchn1"/>
    <w:rPr>
      <w:rFonts w:eastAsia="Batang"/>
      <w:lang w:val="en-US" w:eastAsia="de-DE" w:bidi="ar-SA"/>
    </w:rPr>
  </w:style>
  <w:style w:type="paragraph" w:styleId="Listaconvietas2">
    <w:name w:val="List Bullet 2"/>
    <w:basedOn w:val="Normal"/>
    <w:pPr>
      <w:numPr>
        <w:numId w:val="17"/>
      </w:numPr>
    </w:pPr>
  </w:style>
  <w:style w:type="paragraph" w:styleId="Listaconvietas3">
    <w:name w:val="List Bullet 3"/>
    <w:basedOn w:val="Normal"/>
    <w:pPr>
      <w:numPr>
        <w:numId w:val="14"/>
      </w:numPr>
    </w:pPr>
  </w:style>
  <w:style w:type="paragraph" w:styleId="Textonotapie">
    <w:name w:val="footnote text"/>
    <w:basedOn w:val="Standard-1pt"/>
    <w:semiHidden/>
    <w:pPr>
      <w:tabs>
        <w:tab w:val="clear" w:pos="340"/>
        <w:tab w:val="clear" w:pos="680"/>
        <w:tab w:val="left" w:pos="170"/>
      </w:tabs>
      <w:ind w:left="170" w:hanging="170"/>
    </w:pPr>
  </w:style>
  <w:style w:type="paragraph" w:customStyle="1" w:styleId="equation">
    <w:name w:val="equation"/>
    <w:pPr>
      <w:tabs>
        <w:tab w:val="center" w:pos="2421"/>
        <w:tab w:val="right" w:pos="4848"/>
      </w:tabs>
      <w:spacing w:before="120" w:after="120"/>
    </w:pPr>
    <w:rPr>
      <w:iCs/>
      <w:snapToGrid w:val="0"/>
      <w:lang w:val="en-US" w:eastAsia="en-US"/>
    </w:rPr>
  </w:style>
  <w:style w:type="paragraph" w:customStyle="1" w:styleId="thanks">
    <w:name w:val="thanks"/>
    <w:basedOn w:val="Normal"/>
    <w:pPr>
      <w:framePr w:w="4848" w:h="227" w:vSpace="113" w:wrap="around" w:hAnchor="text" w:yAlign="bottom" w:anchorLock="1"/>
      <w:ind w:firstLine="0"/>
    </w:pPr>
    <w:rPr>
      <w:sz w:val="16"/>
      <w:szCs w:val="16"/>
    </w:rPr>
  </w:style>
  <w:style w:type="paragraph" w:styleId="Listaconvietas4">
    <w:name w:val="List Bullet 4"/>
    <w:basedOn w:val="Normal"/>
    <w:pPr>
      <w:tabs>
        <w:tab w:val="num" w:pos="1209"/>
      </w:tabs>
      <w:ind w:left="1209" w:hanging="360"/>
    </w:pPr>
  </w:style>
  <w:style w:type="paragraph" w:customStyle="1" w:styleId="authoraddressline1">
    <w:name w:val="author_address_line1"/>
    <w:next w:val="authoraddress"/>
    <w:pPr>
      <w:spacing w:before="360" w:after="180"/>
      <w:ind w:left="340"/>
      <w:contextualSpacing/>
    </w:pPr>
    <w:rPr>
      <w:sz w:val="16"/>
      <w:lang w:val="en-US" w:eastAsia="de-DE"/>
    </w:rPr>
  </w:style>
  <w:style w:type="paragraph" w:customStyle="1" w:styleId="authoraddress">
    <w:name w:val="author_address"/>
    <w:pPr>
      <w:tabs>
        <w:tab w:val="left" w:pos="964"/>
      </w:tabs>
      <w:ind w:left="964" w:hanging="624"/>
    </w:pPr>
    <w:rPr>
      <w:snapToGrid w:val="0"/>
      <w:sz w:val="16"/>
      <w:lang w:val="en-US" w:eastAsia="ja-JP"/>
    </w:rPr>
  </w:style>
  <w:style w:type="character" w:customStyle="1" w:styleId="TimesNewRoman">
    <w:name w:val="TimesNewRoman"/>
    <w:rPr>
      <w:rFonts w:ascii="Times New Roman" w:hAnsi="Times New Roman"/>
    </w:rPr>
  </w:style>
  <w:style w:type="paragraph" w:customStyle="1" w:styleId="tablenotes">
    <w:name w:val="tablenotes"/>
    <w:basedOn w:val="tablelegend"/>
    <w:pPr>
      <w:keepNext w:val="0"/>
      <w:spacing w:before="100" w:after="300"/>
      <w:jc w:val="left"/>
    </w:pPr>
  </w:style>
  <w:style w:type="character" w:styleId="Refdenotaalpie">
    <w:name w:val="footnote reference"/>
    <w:semiHidden/>
    <w:rPr>
      <w:vertAlign w:val="superscript"/>
    </w:rPr>
  </w:style>
  <w:style w:type="paragraph" w:styleId="Listaconvietas5">
    <w:name w:val="List Bullet 5"/>
    <w:basedOn w:val="Normal"/>
    <w:pPr>
      <w:tabs>
        <w:tab w:val="num" w:pos="1492"/>
      </w:tabs>
      <w:ind w:left="1492" w:hanging="360"/>
    </w:pPr>
  </w:style>
  <w:style w:type="paragraph" w:styleId="Textodebloque">
    <w:name w:val="Block Text"/>
    <w:basedOn w:val="Normal"/>
  </w:style>
  <w:style w:type="paragraph" w:styleId="Fecha">
    <w:name w:val="Date"/>
    <w:basedOn w:val="Normal"/>
    <w:next w:val="Normal"/>
  </w:style>
  <w:style w:type="paragraph" w:styleId="Mapadeldocumento">
    <w:name w:val="Document Map"/>
    <w:basedOn w:val="Normal"/>
    <w:semiHidden/>
    <w:pPr>
      <w:shd w:val="clear" w:color="auto" w:fill="000080"/>
    </w:pPr>
    <w:rPr>
      <w:rFonts w:ascii="Tahoma" w:hAnsi="Tahoma" w:cs="Tahoma"/>
    </w:rPr>
  </w:style>
  <w:style w:type="paragraph" w:styleId="Encabezadodenota">
    <w:name w:val="Note Heading"/>
    <w:basedOn w:val="Standard-1pt"/>
    <w:next w:val="Normal"/>
    <w:pPr>
      <w:ind w:firstLine="0"/>
    </w:pPr>
  </w:style>
  <w:style w:type="paragraph" w:styleId="Piedepgina">
    <w:name w:val="footer"/>
    <w:basedOn w:val="Standard-1pt"/>
    <w:link w:val="PiedepginaCar"/>
    <w:uiPriority w:val="99"/>
    <w:pPr>
      <w:tabs>
        <w:tab w:val="clear" w:pos="340"/>
        <w:tab w:val="clear" w:pos="680"/>
      </w:tabs>
      <w:ind w:firstLine="0"/>
      <w:jc w:val="left"/>
    </w:pPr>
  </w:style>
  <w:style w:type="paragraph" w:customStyle="1" w:styleId="Standard-1pt">
    <w:name w:val="Standard-1pt"/>
    <w:basedOn w:val="Normal"/>
    <w:rPr>
      <w:sz w:val="18"/>
    </w:rPr>
  </w:style>
  <w:style w:type="paragraph" w:styleId="Cierre">
    <w:name w:val="Closing"/>
    <w:basedOn w:val="Normal"/>
    <w:pPr>
      <w:ind w:left="4252"/>
    </w:pPr>
  </w:style>
  <w:style w:type="character" w:styleId="nfasis">
    <w:name w:val="Emphasis"/>
    <w:qFormat/>
    <w:rPr>
      <w:i/>
      <w:iCs/>
    </w:rPr>
  </w:style>
  <w:style w:type="paragraph" w:styleId="Tabladeilustraciones">
    <w:name w:val="table of figures"/>
    <w:basedOn w:val="Normal"/>
    <w:next w:val="Normal"/>
    <w:semiHidden/>
    <w:pPr>
      <w:tabs>
        <w:tab w:val="clear" w:pos="340"/>
        <w:tab w:val="clear" w:pos="680"/>
      </w:tabs>
    </w:pPr>
  </w:style>
  <w:style w:type="paragraph" w:styleId="Descripcin">
    <w:name w:val="caption"/>
    <w:basedOn w:val="Normal"/>
    <w:next w:val="Normal"/>
    <w:qFormat/>
    <w:rPr>
      <w:bCs/>
    </w:rPr>
  </w:style>
  <w:style w:type="paragraph" w:styleId="Textonotaalfinal">
    <w:name w:val="endnote text"/>
    <w:basedOn w:val="Normal"/>
    <w:semiHidden/>
  </w:style>
  <w:style w:type="character" w:styleId="Refdenotaalfinal">
    <w:name w:val="endnote reference"/>
    <w:semiHidden/>
    <w:rPr>
      <w:vertAlign w:val="superscript"/>
    </w:rPr>
  </w:style>
  <w:style w:type="paragraph" w:styleId="ndice1">
    <w:name w:val="index 1"/>
    <w:basedOn w:val="Normal"/>
    <w:next w:val="Normal"/>
    <w:autoRedefine/>
    <w:semiHidden/>
    <w:pPr>
      <w:tabs>
        <w:tab w:val="clear" w:pos="340"/>
        <w:tab w:val="clear" w:pos="680"/>
      </w:tabs>
      <w:ind w:left="200" w:hanging="200"/>
    </w:pPr>
  </w:style>
  <w:style w:type="paragraph" w:styleId="ndice2">
    <w:name w:val="index 2"/>
    <w:basedOn w:val="Normal"/>
    <w:next w:val="Normal"/>
    <w:autoRedefine/>
    <w:semiHidden/>
    <w:pPr>
      <w:tabs>
        <w:tab w:val="clear" w:pos="340"/>
        <w:tab w:val="clear" w:pos="680"/>
      </w:tabs>
      <w:ind w:left="400" w:hanging="200"/>
    </w:pPr>
  </w:style>
  <w:style w:type="paragraph" w:styleId="ndice3">
    <w:name w:val="index 3"/>
    <w:basedOn w:val="Normal"/>
    <w:next w:val="Normal"/>
    <w:autoRedefine/>
    <w:semiHidden/>
    <w:pPr>
      <w:tabs>
        <w:tab w:val="clear" w:pos="340"/>
        <w:tab w:val="clear" w:pos="680"/>
      </w:tabs>
      <w:ind w:left="600" w:hanging="200"/>
    </w:pPr>
  </w:style>
  <w:style w:type="paragraph" w:styleId="ndice4">
    <w:name w:val="index 4"/>
    <w:basedOn w:val="Normal"/>
    <w:next w:val="Normal"/>
    <w:autoRedefine/>
    <w:semiHidden/>
    <w:pPr>
      <w:tabs>
        <w:tab w:val="clear" w:pos="340"/>
        <w:tab w:val="clear" w:pos="680"/>
      </w:tabs>
      <w:ind w:left="800" w:hanging="200"/>
    </w:pPr>
  </w:style>
  <w:style w:type="paragraph" w:styleId="ndice5">
    <w:name w:val="index 5"/>
    <w:basedOn w:val="Normal"/>
    <w:next w:val="Normal"/>
    <w:autoRedefine/>
    <w:semiHidden/>
    <w:pPr>
      <w:tabs>
        <w:tab w:val="clear" w:pos="340"/>
        <w:tab w:val="clear" w:pos="680"/>
      </w:tabs>
      <w:ind w:left="1000" w:hanging="200"/>
    </w:pPr>
  </w:style>
  <w:style w:type="paragraph" w:styleId="ndice6">
    <w:name w:val="index 6"/>
    <w:basedOn w:val="Normal"/>
    <w:next w:val="Normal"/>
    <w:autoRedefine/>
    <w:semiHidden/>
    <w:pPr>
      <w:tabs>
        <w:tab w:val="clear" w:pos="340"/>
        <w:tab w:val="clear" w:pos="680"/>
      </w:tabs>
      <w:ind w:left="1200" w:hanging="200"/>
    </w:pPr>
  </w:style>
  <w:style w:type="paragraph" w:styleId="Encabezado">
    <w:name w:val="header"/>
    <w:basedOn w:val="Standard-1pt"/>
    <w:link w:val="EncabezadoCar"/>
    <w:uiPriority w:val="99"/>
    <w:pPr>
      <w:tabs>
        <w:tab w:val="clear" w:pos="340"/>
        <w:tab w:val="clear" w:pos="680"/>
        <w:tab w:val="left" w:pos="10036"/>
      </w:tabs>
      <w:ind w:firstLine="0"/>
      <w:jc w:val="left"/>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tabs>
        <w:tab w:val="clear" w:pos="340"/>
        <w:tab w:val="num" w:pos="360"/>
      </w:tabs>
      <w:ind w:left="360" w:hanging="360"/>
    </w:pPr>
  </w:style>
  <w:style w:type="paragraph" w:styleId="Listaconnmeros2">
    <w:name w:val="List Number 2"/>
    <w:basedOn w:val="Normal"/>
    <w:pPr>
      <w:tabs>
        <w:tab w:val="num" w:pos="643"/>
      </w:tabs>
      <w:ind w:left="643" w:hanging="360"/>
    </w:pPr>
  </w:style>
  <w:style w:type="paragraph" w:styleId="Listaconnmeros3">
    <w:name w:val="List Number 3"/>
    <w:basedOn w:val="Normal"/>
    <w:pPr>
      <w:tabs>
        <w:tab w:val="num" w:pos="926"/>
      </w:tabs>
      <w:ind w:left="926" w:hanging="360"/>
    </w:pPr>
  </w:style>
  <w:style w:type="paragraph" w:styleId="Listaconnmeros4">
    <w:name w:val="List Number 4"/>
    <w:basedOn w:val="Normal"/>
    <w:pPr>
      <w:tabs>
        <w:tab w:val="num" w:pos="1209"/>
      </w:tabs>
      <w:ind w:left="1209" w:hanging="360"/>
    </w:pPr>
  </w:style>
  <w:style w:type="paragraph" w:styleId="Listaconnmeros5">
    <w:name w:val="List Number 5"/>
    <w:basedOn w:val="Normal"/>
    <w:pPr>
      <w:tabs>
        <w:tab w:val="num" w:pos="1492"/>
      </w:tabs>
      <w:ind w:left="1492" w:hanging="360"/>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informato">
    <w:name w:val="Plain Text"/>
    <w:basedOn w:val="Normal"/>
    <w:rPr>
      <w:rFonts w:cs="Courier New"/>
    </w:rPr>
  </w:style>
  <w:style w:type="character" w:styleId="Nmerodepgina">
    <w:name w:val="page number"/>
    <w:basedOn w:val="Fuentedeprrafopredeter"/>
  </w:style>
  <w:style w:type="paragraph" w:styleId="NormalWeb">
    <w:name w:val="Normal (Web)"/>
    <w:basedOn w:val="Normal"/>
    <w:rPr>
      <w:szCs w:val="24"/>
    </w:rPr>
  </w:style>
  <w:style w:type="paragraph" w:styleId="Sangranormal">
    <w:name w:val="Normal Indent"/>
    <w:basedOn w:val="Normal"/>
  </w:style>
  <w:style w:type="paragraph" w:styleId="Textoindependiente">
    <w:name w:val="Body Text"/>
    <w:basedOn w:val="Normal"/>
  </w:style>
  <w:style w:type="paragraph" w:styleId="Textoindependiente2">
    <w:name w:val="Body Text 2"/>
    <w:basedOn w:val="Normal"/>
  </w:style>
  <w:style w:type="paragraph" w:styleId="Textoindependiente3">
    <w:name w:val="Body Text 3"/>
    <w:basedOn w:val="Normal"/>
    <w:rPr>
      <w:szCs w:val="16"/>
    </w:rPr>
  </w:style>
  <w:style w:type="paragraph" w:styleId="Sangra2detindependiente">
    <w:name w:val="Body Text Indent 2"/>
    <w:basedOn w:val="Normal"/>
  </w:style>
  <w:style w:type="paragraph" w:styleId="Sangra3detindependiente">
    <w:name w:val="Body Text Indent 3"/>
    <w:basedOn w:val="Normal"/>
    <w:rPr>
      <w:szCs w:val="16"/>
    </w:rPr>
  </w:style>
  <w:style w:type="paragraph" w:styleId="Textoindependienteprimerasangra">
    <w:name w:val="Body Text First Indent"/>
    <w:basedOn w:val="Normal"/>
  </w:style>
  <w:style w:type="paragraph" w:styleId="Sangradetextonormal">
    <w:name w:val="Body Text Indent"/>
    <w:basedOn w:val="Normal"/>
  </w:style>
  <w:style w:type="paragraph" w:styleId="Textoindependienteprimerasangra2">
    <w:name w:val="Body Text First Indent 2"/>
    <w:basedOn w:val="Normal"/>
  </w:style>
  <w:style w:type="paragraph" w:styleId="Ttulo">
    <w:name w:val="Title"/>
    <w:aliases w:val="Puesto"/>
    <w:basedOn w:val="Normal"/>
    <w:qFormat/>
    <w:pPr>
      <w:spacing w:before="240" w:after="60"/>
      <w:jc w:val="center"/>
      <w:outlineLvl w:val="0"/>
    </w:pPr>
    <w:rPr>
      <w:rFonts w:ascii="Arial" w:hAnsi="Arial" w:cs="Arial"/>
      <w:b/>
      <w:bCs/>
      <w:kern w:val="28"/>
      <w:sz w:val="32"/>
      <w:szCs w:val="32"/>
    </w:rPr>
  </w:style>
  <w:style w:type="character" w:customStyle="1" w:styleId="symbol">
    <w:name w:val="symbol"/>
    <w:rPr>
      <w:rFonts w:ascii="Symbol" w:hAnsi="Symbol"/>
    </w:rPr>
  </w:style>
  <w:style w:type="character" w:customStyle="1" w:styleId="symbolitalic">
    <w:name w:val="symbol_italic"/>
    <w:rPr>
      <w:rFonts w:ascii="Symbol" w:hAnsi="Symbol"/>
      <w:i/>
    </w:rPr>
  </w:style>
  <w:style w:type="paragraph" w:customStyle="1" w:styleId="itemize">
    <w:name w:val="itemize"/>
    <w:basedOn w:val="Normal"/>
    <w:pPr>
      <w:keepLines/>
      <w:tabs>
        <w:tab w:val="num" w:pos="340"/>
      </w:tabs>
      <w:spacing w:before="120" w:after="120"/>
      <w:ind w:left="340" w:hanging="340"/>
      <w:contextualSpacing/>
    </w:pPr>
    <w:rPr>
      <w:lang w:val="de-DE" w:eastAsia="en-US"/>
    </w:rPr>
  </w:style>
  <w:style w:type="paragraph" w:customStyle="1" w:styleId="enumerate">
    <w:name w:val="enumerate"/>
    <w:basedOn w:val="Normal"/>
    <w:pPr>
      <w:keepLines/>
      <w:tabs>
        <w:tab w:val="num" w:pos="340"/>
      </w:tabs>
      <w:spacing w:before="120" w:after="120"/>
      <w:ind w:left="340" w:hanging="340"/>
      <w:contextualSpacing/>
    </w:pPr>
  </w:style>
  <w:style w:type="paragraph" w:customStyle="1" w:styleId="StandardAN">
    <w:name w:val="StandardAN"/>
    <w:basedOn w:val="Normal"/>
    <w:pPr>
      <w:spacing w:after="300"/>
      <w:contextualSpacing/>
    </w:pPr>
    <w:rPr>
      <w:lang w:val="de-DE"/>
    </w:rPr>
  </w:style>
  <w:style w:type="paragraph" w:customStyle="1" w:styleId="StandardAV">
    <w:name w:val="StandardAV"/>
    <w:basedOn w:val="Normal"/>
    <w:pPr>
      <w:spacing w:before="300"/>
    </w:pPr>
    <w:rPr>
      <w:snapToGrid w:val="0"/>
      <w:lang w:val="de-DE" w:eastAsia="ja-JP"/>
    </w:rPr>
  </w:style>
  <w:style w:type="character" w:customStyle="1" w:styleId="AufzhlungszeichenZchn">
    <w:name w:val="Aufzählungszeichen Zchn"/>
    <w:rPr>
      <w:lang w:val="en-US" w:eastAsia="de-DE" w:bidi="ar-SA"/>
    </w:rPr>
  </w:style>
  <w:style w:type="paragraph" w:customStyle="1" w:styleId="figureOA">
    <w:name w:val="figureOA"/>
    <w:basedOn w:val="figure"/>
    <w:pPr>
      <w:spacing w:before="0" w:after="0"/>
    </w:pPr>
  </w:style>
  <w:style w:type="paragraph" w:customStyle="1" w:styleId="Default">
    <w:name w:val="Default"/>
    <w:pPr>
      <w:autoSpaceDE w:val="0"/>
      <w:autoSpaceDN w:val="0"/>
      <w:adjustRightInd w:val="0"/>
    </w:pPr>
    <w:rPr>
      <w:lang w:val="de-DE" w:eastAsia="de-DE"/>
    </w:rPr>
  </w:style>
  <w:style w:type="paragraph" w:customStyle="1" w:styleId="p1a">
    <w:name w:val="p1a"/>
    <w:basedOn w:val="Normal"/>
    <w:next w:val="Default"/>
    <w:pPr>
      <w:ind w:firstLine="0"/>
    </w:pPr>
    <w:rPr>
      <w:szCs w:val="24"/>
    </w:rPr>
  </w:style>
  <w:style w:type="paragraph" w:customStyle="1" w:styleId="ItemRef">
    <w:name w:val="ItemRef"/>
    <w:basedOn w:val="Normal"/>
    <w:pPr>
      <w:keepNext/>
      <w:spacing w:before="60"/>
      <w:ind w:left="340" w:firstLine="0"/>
    </w:pPr>
    <w:rPr>
      <w:sz w:val="16"/>
      <w:szCs w:val="16"/>
    </w:rPr>
  </w:style>
  <w:style w:type="character" w:customStyle="1" w:styleId="berschrift1Zchn">
    <w:name w:val="Überschrift 1 Zchn"/>
    <w:rPr>
      <w:rFonts w:cs="Arial"/>
      <w:bCs/>
      <w:caps/>
      <w:kern w:val="32"/>
      <w:sz w:val="16"/>
      <w:szCs w:val="16"/>
      <w:lang w:val="en-US" w:eastAsia="de-DE" w:bidi="ar-SA"/>
    </w:rPr>
  </w:style>
  <w:style w:type="character" w:customStyle="1" w:styleId="berschrift2Zchn">
    <w:name w:val="Überschrift 2 Zchn"/>
    <w:rPr>
      <w:rFonts w:cs="Arial"/>
      <w:bCs/>
      <w:i/>
      <w:iCs/>
      <w:caps/>
      <w:kern w:val="32"/>
      <w:sz w:val="16"/>
      <w:szCs w:val="16"/>
      <w:lang w:val="en-US" w:eastAsia="de-DE" w:bidi="ar-SA"/>
    </w:rPr>
  </w:style>
  <w:style w:type="character" w:customStyle="1" w:styleId="heading2Zchn">
    <w:name w:val="heading2 Zchn"/>
    <w:rPr>
      <w:rFonts w:cs="Arial"/>
      <w:bCs/>
      <w:i/>
      <w:iCs/>
      <w:caps/>
      <w:kern w:val="32"/>
      <w:sz w:val="16"/>
      <w:szCs w:val="16"/>
      <w:lang w:val="en-US" w:eastAsia="de-DE" w:bidi="ar-SA"/>
    </w:rPr>
  </w:style>
  <w:style w:type="character" w:customStyle="1" w:styleId="heading2heading1Zchn">
    <w:name w:val="heading2_heading1 Zchn"/>
    <w:rPr>
      <w:rFonts w:cs="Arial"/>
      <w:bCs/>
      <w:i/>
      <w:iCs/>
      <w:caps/>
      <w:kern w:val="32"/>
      <w:sz w:val="16"/>
      <w:szCs w:val="16"/>
      <w:lang w:val="en-US" w:eastAsia="de-DE" w:bidi="ar-SA"/>
    </w:rPr>
  </w:style>
  <w:style w:type="paragraph" w:customStyle="1" w:styleId="End">
    <w:name w:val="End"/>
    <w:pPr>
      <w:spacing w:line="20" w:lineRule="exact"/>
    </w:pPr>
    <w:rPr>
      <w:snapToGrid w:val="0"/>
      <w:sz w:val="2"/>
      <w:szCs w:val="2"/>
      <w:lang w:val="en-US" w:eastAsia="en-US"/>
    </w:rPr>
  </w:style>
  <w:style w:type="paragraph" w:customStyle="1" w:styleId="ItemRefStart">
    <w:name w:val="ItemRefStart"/>
    <w:basedOn w:val="ItemRef"/>
    <w:pPr>
      <w:spacing w:before="120"/>
    </w:pPr>
  </w:style>
  <w:style w:type="character" w:customStyle="1" w:styleId="AbsatzNormal">
    <w:name w:val="AbsatzNormal"/>
    <w:basedOn w:val="Fuentedeprrafopredeter"/>
  </w:style>
  <w:style w:type="paragraph" w:customStyle="1" w:styleId="tablehead">
    <w:name w:val="table_head"/>
    <w:basedOn w:val="tabletext"/>
    <w:pPr>
      <w:spacing w:before="20" w:after="20"/>
      <w:contextualSpacing/>
      <w:jc w:val="center"/>
    </w:pPr>
  </w:style>
  <w:style w:type="paragraph" w:customStyle="1" w:styleId="runningtitle">
    <w:name w:val="runningtitle"/>
    <w:basedOn w:val="Standard-1pt"/>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Pr>
      <w:rFonts w:eastAsia="Times New Roman"/>
    </w:rPr>
  </w:style>
  <w:style w:type="paragraph" w:customStyle="1" w:styleId="FigureColumnLeftTop">
    <w:name w:val="FigureColumnLeftTop"/>
    <w:basedOn w:val="figure"/>
    <w:pPr>
      <w:keepNext w:val="0"/>
      <w:framePr w:w="4876" w:vSpace="238" w:wrap="around" w:hAnchor="margin" w:yAlign="top"/>
      <w:spacing w:before="0"/>
    </w:pPr>
  </w:style>
  <w:style w:type="paragraph" w:customStyle="1" w:styleId="FigureColumnLeftBottom">
    <w:name w:val="FigureColumnLeftBottom"/>
    <w:basedOn w:val="FigureColumnLeftTop"/>
    <w:pPr>
      <w:framePr w:wrap="around" w:yAlign="bottom"/>
      <w:spacing w:before="100" w:after="0"/>
    </w:pPr>
  </w:style>
  <w:style w:type="paragraph" w:customStyle="1" w:styleId="FigureColumnRightTop">
    <w:name w:val="FigureColumnRightTop"/>
    <w:basedOn w:val="FigureColumnLeftTop"/>
    <w:pPr>
      <w:framePr w:wrap="around" w:xAlign="right"/>
    </w:pPr>
  </w:style>
  <w:style w:type="paragraph" w:customStyle="1" w:styleId="FigureColumnRightBottom">
    <w:name w:val="FigureColumnRightBottom"/>
    <w:basedOn w:val="FigureColumnRightTop"/>
    <w:pPr>
      <w:framePr w:wrap="around" w:yAlign="bottom"/>
      <w:spacing w:before="100" w:after="0"/>
    </w:pPr>
  </w:style>
  <w:style w:type="paragraph" w:customStyle="1" w:styleId="FigureSideTop">
    <w:name w:val="FigureSideTop"/>
    <w:basedOn w:val="FigureColumnLeftTop"/>
    <w:pPr>
      <w:framePr w:w="10036" w:wrap="around"/>
    </w:pPr>
  </w:style>
  <w:style w:type="paragraph" w:customStyle="1" w:styleId="FigureSideBottom">
    <w:name w:val="FigureSideBottom"/>
    <w:basedOn w:val="FigureSideTop"/>
    <w:pPr>
      <w:framePr w:wrap="around" w:yAlign="bottom"/>
      <w:spacing w:before="100" w:after="0"/>
    </w:pPr>
  </w:style>
  <w:style w:type="paragraph" w:customStyle="1" w:styleId="Abbildung">
    <w:name w:val="Abbildung"/>
    <w:basedOn w:val="figure"/>
    <w:next w:val="figlegend"/>
  </w:style>
  <w:style w:type="paragraph" w:styleId="ndice7">
    <w:name w:val="index 7"/>
    <w:basedOn w:val="Normal"/>
    <w:next w:val="Normal"/>
    <w:autoRedefine/>
    <w:semiHidden/>
    <w:pPr>
      <w:tabs>
        <w:tab w:val="clear" w:pos="340"/>
        <w:tab w:val="clear" w:pos="680"/>
      </w:tabs>
      <w:ind w:left="1400" w:hanging="200"/>
    </w:pPr>
  </w:style>
  <w:style w:type="paragraph" w:styleId="ndice8">
    <w:name w:val="index 8"/>
    <w:basedOn w:val="Normal"/>
    <w:next w:val="Normal"/>
    <w:autoRedefine/>
    <w:semiHidden/>
    <w:pPr>
      <w:tabs>
        <w:tab w:val="clear" w:pos="340"/>
        <w:tab w:val="clear" w:pos="680"/>
      </w:tabs>
      <w:ind w:left="1600" w:hanging="200"/>
    </w:pPr>
  </w:style>
  <w:style w:type="paragraph" w:styleId="ndice9">
    <w:name w:val="index 9"/>
    <w:basedOn w:val="Normal"/>
    <w:next w:val="Normal"/>
    <w:autoRedefine/>
    <w:semiHidden/>
    <w:pPr>
      <w:tabs>
        <w:tab w:val="clear" w:pos="340"/>
        <w:tab w:val="clear" w:pos="680"/>
      </w:tabs>
      <w:ind w:left="1800" w:hanging="200"/>
    </w:pPr>
  </w:style>
  <w:style w:type="paragraph" w:customStyle="1" w:styleId="StandardZG">
    <w:name w:val="StandardZG"/>
    <w:basedOn w:val="Normal"/>
    <w:pPr>
      <w:spacing w:line="230" w:lineRule="exact"/>
    </w:pPr>
  </w:style>
  <w:style w:type="paragraph" w:styleId="Textocomentario">
    <w:name w:val="annotation text"/>
    <w:basedOn w:val="Normal"/>
    <w:semiHidden/>
  </w:style>
  <w:style w:type="paragraph" w:customStyle="1" w:styleId="Kommentarthema">
    <w:name w:val="Kommentarthema"/>
    <w:basedOn w:val="Textocomentario"/>
    <w:next w:val="Textocomentario"/>
    <w:rPr>
      <w:b/>
      <w:bCs/>
    </w:rPr>
  </w:style>
  <w:style w:type="character" w:styleId="Refdecomentario">
    <w:name w:val="annotation reference"/>
    <w:semiHidden/>
    <w:rPr>
      <w:sz w:val="16"/>
      <w:szCs w:val="16"/>
    </w:r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val="en-US" w:eastAsia="de-DE"/>
    </w:rPr>
  </w:style>
  <w:style w:type="paragraph" w:styleId="Textoconsangra">
    <w:name w:val="table of authorities"/>
    <w:basedOn w:val="Normal"/>
    <w:next w:val="Normal"/>
    <w:semiHidden/>
    <w:pPr>
      <w:tabs>
        <w:tab w:val="clear" w:pos="340"/>
        <w:tab w:val="clear" w:pos="680"/>
      </w:tabs>
    </w:pPr>
  </w:style>
  <w:style w:type="character" w:customStyle="1" w:styleId="superscript">
    <w:name w:val="superscript"/>
    <w:rPr>
      <w:vertAlign w:val="superscript"/>
    </w:rPr>
  </w:style>
  <w:style w:type="paragraph" w:customStyle="1" w:styleId="Sprechblasentext">
    <w:name w:val="Sprechblasentext"/>
    <w:basedOn w:val="Normal"/>
    <w:rPr>
      <w:rFonts w:ascii="Tahoma" w:hAnsi="Tahoma" w:cs="Tahoma"/>
      <w:sz w:val="16"/>
      <w:szCs w:val="16"/>
    </w:rPr>
  </w:style>
  <w:style w:type="paragraph" w:styleId="TDC1">
    <w:name w:val="toc 1"/>
    <w:basedOn w:val="Normal"/>
    <w:next w:val="Normal"/>
    <w:autoRedefine/>
    <w:semiHidden/>
    <w:pPr>
      <w:tabs>
        <w:tab w:val="clear" w:pos="340"/>
        <w:tab w:val="clear" w:pos="680"/>
      </w:tabs>
    </w:pPr>
  </w:style>
  <w:style w:type="paragraph" w:styleId="TDC2">
    <w:name w:val="toc 2"/>
    <w:basedOn w:val="Normal"/>
    <w:next w:val="Normal"/>
    <w:autoRedefine/>
    <w:semiHidden/>
    <w:pPr>
      <w:tabs>
        <w:tab w:val="clear" w:pos="340"/>
        <w:tab w:val="clear" w:pos="680"/>
      </w:tabs>
      <w:ind w:left="200"/>
    </w:pPr>
  </w:style>
  <w:style w:type="paragraph" w:styleId="TDC3">
    <w:name w:val="toc 3"/>
    <w:basedOn w:val="Normal"/>
    <w:next w:val="Normal"/>
    <w:autoRedefine/>
    <w:semiHidden/>
    <w:pPr>
      <w:tabs>
        <w:tab w:val="clear" w:pos="340"/>
        <w:tab w:val="clear" w:pos="680"/>
      </w:tabs>
      <w:ind w:left="400"/>
    </w:pPr>
  </w:style>
  <w:style w:type="paragraph" w:styleId="TDC4">
    <w:name w:val="toc 4"/>
    <w:basedOn w:val="Normal"/>
    <w:next w:val="Normal"/>
    <w:autoRedefine/>
    <w:semiHidden/>
    <w:pPr>
      <w:tabs>
        <w:tab w:val="clear" w:pos="340"/>
        <w:tab w:val="clear" w:pos="680"/>
      </w:tabs>
      <w:ind w:left="600"/>
    </w:pPr>
  </w:style>
  <w:style w:type="paragraph" w:styleId="TDC5">
    <w:name w:val="toc 5"/>
    <w:basedOn w:val="Normal"/>
    <w:next w:val="Normal"/>
    <w:autoRedefine/>
    <w:semiHidden/>
    <w:pPr>
      <w:tabs>
        <w:tab w:val="clear" w:pos="340"/>
        <w:tab w:val="clear" w:pos="680"/>
      </w:tabs>
      <w:ind w:left="800"/>
    </w:pPr>
  </w:style>
  <w:style w:type="paragraph" w:styleId="TDC6">
    <w:name w:val="toc 6"/>
    <w:basedOn w:val="Normal"/>
    <w:next w:val="Normal"/>
    <w:autoRedefine/>
    <w:semiHidden/>
    <w:pPr>
      <w:tabs>
        <w:tab w:val="clear" w:pos="340"/>
        <w:tab w:val="clear" w:pos="680"/>
      </w:tabs>
      <w:ind w:left="1000"/>
    </w:pPr>
  </w:style>
  <w:style w:type="paragraph" w:styleId="TDC7">
    <w:name w:val="toc 7"/>
    <w:basedOn w:val="Normal"/>
    <w:next w:val="Normal"/>
    <w:autoRedefine/>
    <w:semiHidden/>
    <w:pPr>
      <w:tabs>
        <w:tab w:val="clear" w:pos="340"/>
        <w:tab w:val="clear" w:pos="680"/>
      </w:tabs>
      <w:ind w:left="1200"/>
    </w:pPr>
  </w:style>
  <w:style w:type="paragraph" w:styleId="TDC8">
    <w:name w:val="toc 8"/>
    <w:basedOn w:val="Normal"/>
    <w:next w:val="Normal"/>
    <w:autoRedefine/>
    <w:semiHidden/>
    <w:pPr>
      <w:tabs>
        <w:tab w:val="clear" w:pos="340"/>
        <w:tab w:val="clear" w:pos="680"/>
      </w:tabs>
      <w:ind w:left="1400"/>
    </w:pPr>
  </w:style>
  <w:style w:type="paragraph" w:styleId="TDC9">
    <w:name w:val="toc 9"/>
    <w:basedOn w:val="Normal"/>
    <w:next w:val="Normal"/>
    <w:autoRedefine/>
    <w:semiHidden/>
    <w:pPr>
      <w:tabs>
        <w:tab w:val="clear" w:pos="340"/>
        <w:tab w:val="clear" w:pos="680"/>
      </w:tabs>
      <w:ind w:left="1600"/>
    </w:pPr>
  </w:style>
  <w:style w:type="character" w:styleId="AcrnimoHTML">
    <w:name w:val="HTML Acronym"/>
    <w:basedOn w:val="Fuentedeprrafopredeter"/>
  </w:style>
  <w:style w:type="paragraph" w:styleId="HTMLconformatoprevio">
    <w:name w:val="HTML Preformatted"/>
    <w:basedOn w:val="Normal"/>
    <w:pPr>
      <w:ind w:firstLine="0"/>
    </w:pPr>
    <w:rPr>
      <w:rFonts w:ascii="Courier New" w:hAnsi="Courier New" w:cs="Courier New"/>
    </w:rPr>
  </w:style>
  <w:style w:type="paragraph" w:styleId="Textodeglobo">
    <w:name w:val="Balloon Text"/>
    <w:basedOn w:val="Normal"/>
    <w:semiHidden/>
    <w:rsid w:val="00025EA6"/>
    <w:rPr>
      <w:rFonts w:ascii="Tahoma" w:hAnsi="Tahoma" w:cs="Tahoma"/>
      <w:sz w:val="16"/>
      <w:szCs w:val="16"/>
    </w:rPr>
  </w:style>
  <w:style w:type="character" w:styleId="Textoennegrita">
    <w:name w:val="Strong"/>
    <w:qFormat/>
    <w:rsid w:val="00575744"/>
    <w:rPr>
      <w:b/>
      <w:bCs/>
    </w:rPr>
  </w:style>
  <w:style w:type="paragraph" w:styleId="Direccinsobre">
    <w:name w:val="envelope address"/>
    <w:basedOn w:val="Normal"/>
    <w:rPr>
      <w:rFonts w:cs="Arial"/>
      <w:szCs w:val="24"/>
    </w:rPr>
  </w:style>
  <w:style w:type="paragraph" w:styleId="Firma">
    <w:name w:val="Signature"/>
    <w:basedOn w:val="Normal"/>
  </w:style>
  <w:style w:type="paragraph" w:styleId="Subttulo">
    <w:name w:val="Subtitle"/>
    <w:basedOn w:val="Normal"/>
    <w:qFormat/>
    <w:rPr>
      <w:rFonts w:cs="Arial"/>
      <w:szCs w:val="24"/>
    </w:rPr>
  </w:style>
  <w:style w:type="character" w:customStyle="1" w:styleId="subscript">
    <w:name w:val="subscript"/>
    <w:rPr>
      <w:vertAlign w:val="subscript"/>
    </w:rPr>
  </w:style>
  <w:style w:type="character" w:customStyle="1" w:styleId="PiedepginaCar">
    <w:name w:val="Pie de página Car"/>
    <w:link w:val="Piedepgina"/>
    <w:uiPriority w:val="99"/>
    <w:rsid w:val="00981748"/>
    <w:rPr>
      <w:sz w:val="18"/>
      <w:lang w:val="en-US" w:eastAsia="de-DE"/>
    </w:rPr>
  </w:style>
  <w:style w:type="paragraph" w:customStyle="1" w:styleId="tablelegendInTable">
    <w:name w:val="tablelegendInTable"/>
    <w:basedOn w:val="tablelegend"/>
    <w:pPr>
      <w:spacing w:before="0"/>
    </w:pPr>
  </w:style>
  <w:style w:type="character" w:customStyle="1" w:styleId="EncabezadoCar">
    <w:name w:val="Encabezado Car"/>
    <w:link w:val="Encabezado"/>
    <w:uiPriority w:val="99"/>
    <w:rsid w:val="004E67B3"/>
    <w:rPr>
      <w:sz w:val="18"/>
      <w:lang w:val="en-US" w:eastAsia="de-DE"/>
    </w:rPr>
  </w:style>
  <w:style w:type="character" w:styleId="Mencinsinresolver">
    <w:name w:val="Unresolved Mention"/>
    <w:basedOn w:val="Fuentedeprrafopredeter"/>
    <w:uiPriority w:val="99"/>
    <w:semiHidden/>
    <w:unhideWhenUsed/>
    <w:rsid w:val="00593002"/>
    <w:rPr>
      <w:color w:val="605E5C"/>
      <w:shd w:val="clear" w:color="auto" w:fill="E1DFDD"/>
    </w:rPr>
  </w:style>
  <w:style w:type="paragraph" w:styleId="Prrafodelista">
    <w:name w:val="List Paragraph"/>
    <w:basedOn w:val="Normal"/>
    <w:uiPriority w:val="34"/>
    <w:qFormat/>
    <w:rsid w:val="00B24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inedacitalanroxana5@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sld.cu/scielo.php?script=sci_arttext&amp;pid=S156131942023000300001&amp;lng=es" TargetMode="External"/><Relationship Id="rId5" Type="http://schemas.openxmlformats.org/officeDocument/2006/relationships/footnotes" Target="footnotes.xml"/><Relationship Id="rId10" Type="http://schemas.openxmlformats.org/officeDocument/2006/relationships/hyperlink" Target="http://revfinlay.sld.cu/index.php/finlay/article/view/592" TargetMode="Externa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__\EDUMED%2017\Plantillaedumed2017-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Plantillaedumed2017-1.dotx</Template>
  <TotalTime>2</TotalTime>
  <Pages>7</Pages>
  <Words>2659</Words>
  <Characters>14629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Plantilla VIII Congreso SCB.doc</vt:lpstr>
    </vt:vector>
  </TitlesOfParts>
  <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VIII Congreso SCB.doc</dc:title>
  <dc:creator>Roxana Pineda</dc:creator>
  <cp:lastModifiedBy>Roxana Pineda</cp:lastModifiedBy>
  <cp:revision>2</cp:revision>
  <cp:lastPrinted>2007-03-08T18:41:00Z</cp:lastPrinted>
  <dcterms:created xsi:type="dcterms:W3CDTF">2025-03-13T23:35:00Z</dcterms:created>
  <dcterms:modified xsi:type="dcterms:W3CDTF">2025-03-13T23:35:00Z</dcterms:modified>
</cp:coreProperties>
</file>